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27DA" w:rsidRDefault="00C52C4E">
      <w:pPr>
        <w:rPr>
          <w:rFonts w:ascii="Tahoma" w:hAnsi="Tahoma" w:cs="Tahoma"/>
          <w:b/>
          <w:i/>
        </w:rPr>
      </w:pPr>
      <w:bookmarkStart w:id="0" w:name="_Hlk96595361"/>
      <w:r>
        <w:rPr>
          <w:rFonts w:ascii="Tahoma" w:hAnsi="Tahoma" w:cs="Tahoma"/>
          <w:b/>
          <w:i/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2305050</wp:posOffset>
            </wp:positionH>
            <wp:positionV relativeFrom="paragraph">
              <wp:posOffset>9525</wp:posOffset>
            </wp:positionV>
            <wp:extent cx="1498600" cy="1416050"/>
            <wp:effectExtent l="0" t="0" r="6350" b="0"/>
            <wp:wrapSquare wrapText="bothSides"/>
            <wp:docPr id="1" name="Рисунок 1" descr="INTER_RAO_slogan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NTER_RAO_slogan-01"/>
                    <pic:cNvPicPr>
                      <a:picLocks noChangeAspect="1"/>
                    </pic:cNvPicPr>
                  </pic:nvPicPr>
                  <pic:blipFill>
                    <a:blip r:embed="rId13"/>
                    <a:srcRect l="23521" t="27272" r="54451" b="56699"/>
                    <a:stretch/>
                  </pic:blipFill>
                  <pic:spPr bwMode="auto">
                    <a:xfrm>
                      <a:off x="0" y="0"/>
                      <a:ext cx="1498600" cy="141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D3A07">
        <w:rPr>
          <w:rFonts w:ascii="Tahoma" w:hAnsi="Tahoma" w:cs="Tahoma"/>
          <w:b/>
          <w:i/>
        </w:rPr>
        <w:tab/>
      </w:r>
      <w:r>
        <w:rPr>
          <w:rFonts w:ascii="Tahoma" w:hAnsi="Tahoma" w:cs="Tahoma"/>
          <w:b/>
          <w:i/>
        </w:rPr>
        <w:br w:type="textWrapping" w:clear="all"/>
      </w:r>
    </w:p>
    <w:p w:rsidR="00E027DA" w:rsidRDefault="00E027DA">
      <w:pPr>
        <w:pBdr>
          <w:bottom w:val="single" w:sz="4" w:space="1" w:color="auto"/>
        </w:pBdr>
        <w:rPr>
          <w:rFonts w:ascii="Tahoma" w:hAnsi="Tahoma" w:cs="Tahoma"/>
          <w:b/>
          <w:i/>
        </w:rPr>
      </w:pPr>
    </w:p>
    <w:p w:rsidR="00E027DA" w:rsidRPr="000276A8" w:rsidRDefault="008159D6">
      <w:pPr>
        <w:spacing w:before="240" w:after="24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1 декабря</w:t>
      </w:r>
      <w:r w:rsidR="001F7872" w:rsidRPr="000276A8">
        <w:rPr>
          <w:rFonts w:ascii="Tahoma" w:hAnsi="Tahoma" w:cs="Tahoma"/>
          <w:b/>
          <w:sz w:val="24"/>
          <w:szCs w:val="24"/>
        </w:rPr>
        <w:t xml:space="preserve"> </w:t>
      </w:r>
      <w:r w:rsidR="00C52C4E" w:rsidRPr="000276A8">
        <w:rPr>
          <w:rFonts w:ascii="Tahoma" w:hAnsi="Tahoma" w:cs="Tahoma"/>
          <w:b/>
          <w:sz w:val="24"/>
          <w:szCs w:val="24"/>
        </w:rPr>
        <w:t>2023 г., Москва</w:t>
      </w:r>
    </w:p>
    <w:p w:rsidR="00E027DA" w:rsidRPr="000276A8" w:rsidRDefault="00C52C4E">
      <w:pPr>
        <w:spacing w:before="360" w:after="240"/>
        <w:jc w:val="center"/>
        <w:rPr>
          <w:rFonts w:ascii="Tahoma" w:hAnsi="Tahoma" w:cs="Tahoma"/>
          <w:b/>
          <w:sz w:val="32"/>
          <w:szCs w:val="32"/>
        </w:rPr>
      </w:pPr>
      <w:r w:rsidRPr="000276A8">
        <w:rPr>
          <w:rFonts w:ascii="Tahoma" w:hAnsi="Tahoma" w:cs="Tahoma"/>
          <w:b/>
          <w:sz w:val="32"/>
          <w:szCs w:val="32"/>
        </w:rPr>
        <w:t>Группа «Интер РАО» опубликовала промежуточн</w:t>
      </w:r>
      <w:r w:rsidR="00824267">
        <w:rPr>
          <w:rFonts w:ascii="Tahoma" w:hAnsi="Tahoma" w:cs="Tahoma"/>
          <w:b/>
          <w:sz w:val="32"/>
          <w:szCs w:val="32"/>
        </w:rPr>
        <w:t>ые</w:t>
      </w:r>
      <w:r w:rsidRPr="000276A8">
        <w:rPr>
          <w:rFonts w:ascii="Tahoma" w:hAnsi="Tahoma" w:cs="Tahoma"/>
          <w:b/>
          <w:sz w:val="32"/>
          <w:szCs w:val="32"/>
        </w:rPr>
        <w:t xml:space="preserve"> консолидированн</w:t>
      </w:r>
      <w:r w:rsidR="00824267">
        <w:rPr>
          <w:rFonts w:ascii="Tahoma" w:hAnsi="Tahoma" w:cs="Tahoma"/>
          <w:b/>
          <w:sz w:val="32"/>
          <w:szCs w:val="32"/>
        </w:rPr>
        <w:t xml:space="preserve">ые </w:t>
      </w:r>
      <w:r w:rsidRPr="000276A8">
        <w:rPr>
          <w:rFonts w:ascii="Tahoma" w:hAnsi="Tahoma" w:cs="Tahoma"/>
          <w:b/>
          <w:sz w:val="32"/>
          <w:szCs w:val="32"/>
        </w:rPr>
        <w:t>финансов</w:t>
      </w:r>
      <w:r w:rsidR="00824267">
        <w:rPr>
          <w:rFonts w:ascii="Tahoma" w:hAnsi="Tahoma" w:cs="Tahoma"/>
          <w:b/>
          <w:sz w:val="32"/>
          <w:szCs w:val="32"/>
        </w:rPr>
        <w:t xml:space="preserve">ые результаты </w:t>
      </w:r>
      <w:r w:rsidRPr="000276A8">
        <w:rPr>
          <w:rFonts w:ascii="Tahoma" w:hAnsi="Tahoma" w:cs="Tahoma"/>
          <w:b/>
          <w:sz w:val="32"/>
          <w:szCs w:val="32"/>
        </w:rPr>
        <w:t xml:space="preserve">по международным стандартам за </w:t>
      </w:r>
      <w:r w:rsidR="000276A8" w:rsidRPr="000276A8">
        <w:rPr>
          <w:rFonts w:ascii="Tahoma" w:hAnsi="Tahoma" w:cs="Tahoma"/>
          <w:b/>
          <w:sz w:val="32"/>
          <w:szCs w:val="32"/>
        </w:rPr>
        <w:t>9 месяцев</w:t>
      </w:r>
      <w:r w:rsidR="000579D8" w:rsidRPr="000276A8">
        <w:rPr>
          <w:rFonts w:ascii="Tahoma" w:hAnsi="Tahoma" w:cs="Tahoma"/>
          <w:b/>
          <w:sz w:val="32"/>
          <w:szCs w:val="32"/>
        </w:rPr>
        <w:t xml:space="preserve"> </w:t>
      </w:r>
      <w:r w:rsidRPr="000276A8">
        <w:rPr>
          <w:rFonts w:ascii="Tahoma" w:hAnsi="Tahoma" w:cs="Tahoma"/>
          <w:b/>
          <w:sz w:val="32"/>
          <w:szCs w:val="32"/>
        </w:rPr>
        <w:t xml:space="preserve">2023 года </w:t>
      </w:r>
    </w:p>
    <w:tbl>
      <w:tblPr>
        <w:tblW w:w="9702" w:type="dxa"/>
        <w:tblInd w:w="83" w:type="dxa"/>
        <w:tblLayout w:type="fixed"/>
        <w:tblLook w:val="0000" w:firstRow="0" w:lastRow="0" w:firstColumn="0" w:lastColumn="0" w:noHBand="0" w:noVBand="0"/>
      </w:tblPr>
      <w:tblGrid>
        <w:gridCol w:w="10"/>
        <w:gridCol w:w="3725"/>
        <w:gridCol w:w="2126"/>
        <w:gridCol w:w="2126"/>
        <w:gridCol w:w="1667"/>
        <w:gridCol w:w="10"/>
        <w:gridCol w:w="38"/>
      </w:tblGrid>
      <w:tr w:rsidR="00E027DA" w:rsidRPr="000276A8" w:rsidTr="00104F10">
        <w:trPr>
          <w:gridBefore w:val="1"/>
          <w:gridAfter w:val="1"/>
          <w:wBefore w:w="10" w:type="dxa"/>
          <w:wAfter w:w="38" w:type="dxa"/>
          <w:trHeight w:val="315"/>
        </w:trPr>
        <w:tc>
          <w:tcPr>
            <w:tcW w:w="372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:rsidR="00E027DA" w:rsidRPr="000276A8" w:rsidRDefault="00C52C4E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0276A8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Показатель</w:t>
            </w:r>
            <w:r w:rsidRPr="000276A8">
              <w:rPr>
                <w:rFonts w:ascii="Tahoma" w:eastAsia="Times New Roman" w:hAnsi="Tahoma" w:cs="Tahoma"/>
                <w:b/>
                <w:bCs/>
                <w:i/>
                <w:iCs/>
                <w:sz w:val="24"/>
                <w:szCs w:val="24"/>
              </w:rPr>
              <w:t xml:space="preserve">, </w:t>
            </w:r>
            <w:r w:rsidRPr="000276A8">
              <w:rPr>
                <w:rFonts w:ascii="Tahoma" w:eastAsia="Times New Roman" w:hAnsi="Tahoma" w:cs="Tahoma"/>
                <w:b/>
                <w:bCs/>
                <w:iCs/>
                <w:sz w:val="24"/>
                <w:szCs w:val="24"/>
              </w:rPr>
              <w:t>млрд рублей*</w:t>
            </w:r>
          </w:p>
        </w:tc>
        <w:tc>
          <w:tcPr>
            <w:tcW w:w="2126" w:type="dxa"/>
            <w:tcBorders>
              <w:top w:val="single" w:sz="8" w:space="0" w:color="C0C0C0"/>
              <w:left w:val="none" w:sz="4" w:space="0" w:color="000000"/>
              <w:bottom w:val="single" w:sz="8" w:space="0" w:color="C0C0C0"/>
              <w:right w:val="single" w:sz="8" w:space="0" w:color="BFBFBF"/>
            </w:tcBorders>
            <w:shd w:val="clear" w:color="auto" w:fill="FF6600"/>
          </w:tcPr>
          <w:p w:rsidR="00E027DA" w:rsidRPr="000276A8" w:rsidRDefault="000276A8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0276A8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9 </w:t>
            </w:r>
            <w:r w:rsidRPr="000276A8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месяцев</w:t>
            </w:r>
            <w:r w:rsidR="00B65D55" w:rsidRPr="000276A8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 </w:t>
            </w:r>
            <w:r w:rsidR="00C52C4E" w:rsidRPr="000276A8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20</w:t>
            </w:r>
            <w:r w:rsidR="00C52C4E" w:rsidRPr="000276A8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23</w:t>
            </w:r>
            <w:r w:rsidR="00C52C4E" w:rsidRPr="000276A8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52C4E" w:rsidRPr="000276A8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год</w:t>
            </w:r>
            <w:proofErr w:type="spellEnd"/>
            <w:r w:rsidR="00C52C4E" w:rsidRPr="000276A8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2126" w:type="dxa"/>
            <w:tcBorders>
              <w:top w:val="single" w:sz="8" w:space="0" w:color="C0C0C0"/>
              <w:left w:val="single" w:sz="8" w:space="0" w:color="BFBFBF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:rsidR="00E027DA" w:rsidRPr="000276A8" w:rsidRDefault="000276A8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0276A8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9 </w:t>
            </w:r>
            <w:r w:rsidRPr="000276A8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месяцев </w:t>
            </w:r>
            <w:r w:rsidR="00C52C4E" w:rsidRPr="000276A8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20</w:t>
            </w:r>
            <w:r w:rsidR="00C52C4E" w:rsidRPr="000276A8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22</w:t>
            </w:r>
            <w:r w:rsidR="00C52C4E" w:rsidRPr="000276A8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52C4E" w:rsidRPr="000276A8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год</w:t>
            </w:r>
            <w:proofErr w:type="spellEnd"/>
            <w:r w:rsidR="00C52C4E" w:rsidRPr="000276A8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677" w:type="dxa"/>
            <w:gridSpan w:val="2"/>
            <w:tcBorders>
              <w:top w:val="single" w:sz="8" w:space="0" w:color="C0C0C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:rsidR="00E027DA" w:rsidRPr="000276A8" w:rsidRDefault="00C52C4E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0276A8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+/-</w:t>
            </w:r>
          </w:p>
        </w:tc>
      </w:tr>
      <w:tr w:rsidR="00CC0FD2" w:rsidRPr="000276A8" w:rsidTr="00104F10">
        <w:trPr>
          <w:gridBefore w:val="1"/>
          <w:gridAfter w:val="1"/>
          <w:wBefore w:w="10" w:type="dxa"/>
          <w:wAfter w:w="38" w:type="dxa"/>
          <w:trHeight w:val="315"/>
        </w:trPr>
        <w:tc>
          <w:tcPr>
            <w:tcW w:w="3725" w:type="dxa"/>
            <w:tcBorders>
              <w:top w:val="none" w:sz="4" w:space="0" w:color="00000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:rsidR="00CC0FD2" w:rsidRPr="00CC0FD2" w:rsidRDefault="00CC0FD2" w:rsidP="00CC0FD2">
            <w:pPr>
              <w:ind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CC0FD2">
              <w:rPr>
                <w:rFonts w:ascii="Tahoma" w:eastAsia="Times New Roman" w:hAnsi="Tahoma" w:cs="Tahoma"/>
                <w:sz w:val="24"/>
                <w:szCs w:val="24"/>
              </w:rPr>
              <w:t>Выручка</w:t>
            </w:r>
          </w:p>
        </w:tc>
        <w:tc>
          <w:tcPr>
            <w:tcW w:w="2126" w:type="dxa"/>
            <w:tcBorders>
              <w:top w:val="single" w:sz="8" w:space="0" w:color="C0C0C0"/>
              <w:left w:val="none" w:sz="4" w:space="0" w:color="000000"/>
              <w:bottom w:val="single" w:sz="8" w:space="0" w:color="C0C0C0"/>
              <w:right w:val="single" w:sz="8" w:space="0" w:color="BFBFBF"/>
            </w:tcBorders>
            <w:vAlign w:val="center"/>
          </w:tcPr>
          <w:p w:rsidR="00CC0FD2" w:rsidRPr="00CC0FD2" w:rsidRDefault="00CC0FD2" w:rsidP="00CC0FD2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 w:rsidRPr="00CC0FD2">
              <w:rPr>
                <w:rFonts w:ascii="Tahoma" w:eastAsia="Times New Roman" w:hAnsi="Tahoma" w:cs="Tahoma"/>
                <w:sz w:val="24"/>
                <w:szCs w:val="24"/>
              </w:rPr>
              <w:t>969,2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8" w:space="0" w:color="BFBFBF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CC0FD2" w:rsidRPr="00CC0FD2" w:rsidRDefault="00CC0FD2" w:rsidP="00CC0FD2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 w:rsidRPr="00CC0FD2">
              <w:rPr>
                <w:rFonts w:ascii="Tahoma" w:eastAsia="Times New Roman" w:hAnsi="Tahoma" w:cs="Tahoma"/>
                <w:sz w:val="24"/>
                <w:szCs w:val="24"/>
              </w:rPr>
              <w:t>903,4</w:t>
            </w:r>
          </w:p>
        </w:tc>
        <w:tc>
          <w:tcPr>
            <w:tcW w:w="1677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CC0FD2" w:rsidRPr="00CC0FD2" w:rsidRDefault="00104F10" w:rsidP="00CC0FD2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+</w:t>
            </w:r>
            <w:r w:rsidR="00CC0FD2" w:rsidRPr="00CC0FD2">
              <w:rPr>
                <w:rFonts w:ascii="Tahoma" w:eastAsia="Times New Roman" w:hAnsi="Tahoma" w:cs="Tahoma"/>
                <w:sz w:val="24"/>
                <w:szCs w:val="24"/>
              </w:rPr>
              <w:t>7,3%</w:t>
            </w:r>
          </w:p>
        </w:tc>
      </w:tr>
      <w:tr w:rsidR="00CC0FD2" w:rsidRPr="000276A8" w:rsidTr="00104F10">
        <w:trPr>
          <w:gridBefore w:val="1"/>
          <w:gridAfter w:val="1"/>
          <w:wBefore w:w="10" w:type="dxa"/>
          <w:wAfter w:w="38" w:type="dxa"/>
          <w:trHeight w:val="315"/>
        </w:trPr>
        <w:tc>
          <w:tcPr>
            <w:tcW w:w="3725" w:type="dxa"/>
            <w:tcBorders>
              <w:top w:val="none" w:sz="4" w:space="0" w:color="00000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:rsidR="00CC0FD2" w:rsidRPr="00CC0FD2" w:rsidRDefault="00CC0FD2" w:rsidP="00CC0FD2">
            <w:pPr>
              <w:ind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CC0FD2">
              <w:rPr>
                <w:rFonts w:ascii="Tahoma" w:eastAsia="Times New Roman" w:hAnsi="Tahoma" w:cs="Tahoma"/>
                <w:sz w:val="24"/>
                <w:szCs w:val="24"/>
              </w:rPr>
              <w:t xml:space="preserve">Операционные расходы </w:t>
            </w:r>
          </w:p>
        </w:tc>
        <w:tc>
          <w:tcPr>
            <w:tcW w:w="2126" w:type="dxa"/>
            <w:tcBorders>
              <w:top w:val="single" w:sz="8" w:space="0" w:color="C0C0C0"/>
              <w:left w:val="none" w:sz="4" w:space="0" w:color="000000"/>
              <w:bottom w:val="single" w:sz="8" w:space="0" w:color="C0C0C0"/>
              <w:right w:val="single" w:sz="8" w:space="0" w:color="BFBFBF"/>
            </w:tcBorders>
            <w:vAlign w:val="center"/>
          </w:tcPr>
          <w:p w:rsidR="00CC0FD2" w:rsidRPr="00CC0FD2" w:rsidRDefault="00CC0FD2" w:rsidP="00CC0FD2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 w:rsidRPr="00CC0FD2">
              <w:rPr>
                <w:rFonts w:ascii="Tahoma" w:eastAsia="Times New Roman" w:hAnsi="Tahoma" w:cs="Tahoma"/>
                <w:sz w:val="24"/>
                <w:szCs w:val="24"/>
              </w:rPr>
              <w:t>879,0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8" w:space="0" w:color="BFBFBF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CC0FD2" w:rsidRPr="00CC0FD2" w:rsidRDefault="00CC0FD2" w:rsidP="00CC0FD2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 w:rsidRPr="00CC0FD2">
              <w:rPr>
                <w:rFonts w:ascii="Tahoma" w:eastAsia="Times New Roman" w:hAnsi="Tahoma" w:cs="Tahoma"/>
                <w:sz w:val="24"/>
                <w:szCs w:val="24"/>
              </w:rPr>
              <w:t>810,2</w:t>
            </w:r>
          </w:p>
        </w:tc>
        <w:tc>
          <w:tcPr>
            <w:tcW w:w="1677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CC0FD2" w:rsidRPr="00CC0FD2" w:rsidRDefault="00104F10" w:rsidP="00CC0FD2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+</w:t>
            </w:r>
            <w:r w:rsidR="00CC0FD2" w:rsidRPr="00CC0FD2">
              <w:rPr>
                <w:rFonts w:ascii="Tahoma" w:eastAsia="Times New Roman" w:hAnsi="Tahoma" w:cs="Tahoma"/>
                <w:sz w:val="24"/>
                <w:szCs w:val="24"/>
              </w:rPr>
              <w:t>8,5%</w:t>
            </w:r>
          </w:p>
        </w:tc>
      </w:tr>
      <w:tr w:rsidR="00CC0FD2" w:rsidRPr="000276A8" w:rsidTr="00104F10">
        <w:trPr>
          <w:gridBefore w:val="1"/>
          <w:gridAfter w:val="1"/>
          <w:wBefore w:w="10" w:type="dxa"/>
          <w:wAfter w:w="38" w:type="dxa"/>
          <w:trHeight w:val="315"/>
        </w:trPr>
        <w:tc>
          <w:tcPr>
            <w:tcW w:w="3725" w:type="dxa"/>
            <w:tcBorders>
              <w:top w:val="none" w:sz="4" w:space="0" w:color="00000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:rsidR="00CC0FD2" w:rsidRPr="00CC0FD2" w:rsidRDefault="00CC0FD2" w:rsidP="00CC0FD2">
            <w:pPr>
              <w:ind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CC0FD2">
              <w:rPr>
                <w:rFonts w:ascii="Tahoma" w:eastAsia="Times New Roman" w:hAnsi="Tahoma" w:cs="Tahoma"/>
                <w:sz w:val="24"/>
                <w:szCs w:val="24"/>
              </w:rPr>
              <w:t>Операционная прибыль</w:t>
            </w:r>
          </w:p>
        </w:tc>
        <w:tc>
          <w:tcPr>
            <w:tcW w:w="2126" w:type="dxa"/>
            <w:tcBorders>
              <w:top w:val="single" w:sz="8" w:space="0" w:color="C0C0C0"/>
              <w:left w:val="none" w:sz="4" w:space="0" w:color="000000"/>
              <w:bottom w:val="single" w:sz="8" w:space="0" w:color="C0C0C0"/>
              <w:right w:val="single" w:sz="8" w:space="0" w:color="BFBFBF"/>
            </w:tcBorders>
            <w:vAlign w:val="center"/>
          </w:tcPr>
          <w:p w:rsidR="00CC0FD2" w:rsidRPr="00CC0FD2" w:rsidRDefault="00CC0FD2" w:rsidP="00CC0FD2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 w:rsidRPr="00CC0FD2">
              <w:rPr>
                <w:rFonts w:ascii="Tahoma" w:eastAsia="Times New Roman" w:hAnsi="Tahoma" w:cs="Tahoma"/>
                <w:sz w:val="24"/>
                <w:szCs w:val="24"/>
              </w:rPr>
              <w:t>95,</w:t>
            </w:r>
            <w:r w:rsidR="007D3A07">
              <w:rPr>
                <w:rFonts w:ascii="Tahoma" w:eastAsia="Times New Roman" w:hAnsi="Tahoma" w:cs="Tahoma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8" w:space="0" w:color="BFBFBF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CC0FD2" w:rsidRPr="00CC0FD2" w:rsidRDefault="00CC0FD2" w:rsidP="00CC0FD2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 w:rsidRPr="00CC0FD2">
              <w:rPr>
                <w:rFonts w:ascii="Tahoma" w:eastAsia="Times New Roman" w:hAnsi="Tahoma" w:cs="Tahoma"/>
                <w:sz w:val="24"/>
                <w:szCs w:val="24"/>
              </w:rPr>
              <w:t>103,2</w:t>
            </w:r>
          </w:p>
        </w:tc>
        <w:tc>
          <w:tcPr>
            <w:tcW w:w="1677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CC0FD2" w:rsidRPr="00CC0FD2" w:rsidRDefault="00CC0FD2" w:rsidP="00CC0FD2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 w:rsidRPr="00CC0FD2">
              <w:rPr>
                <w:rFonts w:ascii="Tahoma" w:eastAsia="Times New Roman" w:hAnsi="Tahoma" w:cs="Tahoma"/>
                <w:sz w:val="24"/>
                <w:szCs w:val="24"/>
              </w:rPr>
              <w:t>-7,3%</w:t>
            </w:r>
          </w:p>
        </w:tc>
      </w:tr>
      <w:tr w:rsidR="00CC0FD2" w:rsidRPr="000276A8" w:rsidTr="00104F10">
        <w:trPr>
          <w:gridBefore w:val="1"/>
          <w:gridAfter w:val="1"/>
          <w:wBefore w:w="10" w:type="dxa"/>
          <w:wAfter w:w="38" w:type="dxa"/>
          <w:trHeight w:val="315"/>
        </w:trPr>
        <w:tc>
          <w:tcPr>
            <w:tcW w:w="3725" w:type="dxa"/>
            <w:tcBorders>
              <w:top w:val="none" w:sz="4" w:space="0" w:color="00000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:rsidR="00CC0FD2" w:rsidRPr="00CC0FD2" w:rsidRDefault="00CC0FD2" w:rsidP="00CC0FD2">
            <w:pPr>
              <w:ind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CC0FD2">
              <w:rPr>
                <w:rFonts w:ascii="Tahoma" w:eastAsia="Times New Roman" w:hAnsi="Tahoma" w:cs="Tahoma"/>
                <w:sz w:val="24"/>
                <w:szCs w:val="24"/>
              </w:rPr>
              <w:t>Чистая прибыль/(убыток)</w:t>
            </w:r>
          </w:p>
        </w:tc>
        <w:tc>
          <w:tcPr>
            <w:tcW w:w="2126" w:type="dxa"/>
            <w:tcBorders>
              <w:top w:val="single" w:sz="8" w:space="0" w:color="C0C0C0"/>
              <w:left w:val="none" w:sz="4" w:space="0" w:color="000000"/>
              <w:bottom w:val="single" w:sz="8" w:space="0" w:color="C0C0C0"/>
              <w:right w:val="single" w:sz="8" w:space="0" w:color="BFBFBF"/>
            </w:tcBorders>
            <w:vAlign w:val="center"/>
          </w:tcPr>
          <w:p w:rsidR="00CC0FD2" w:rsidRPr="00CC0FD2" w:rsidRDefault="00CC0FD2" w:rsidP="00CC0FD2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 w:rsidRPr="00CC0FD2">
              <w:rPr>
                <w:rFonts w:ascii="Tahoma" w:eastAsia="Times New Roman" w:hAnsi="Tahoma" w:cs="Tahoma"/>
                <w:sz w:val="24"/>
                <w:szCs w:val="24"/>
              </w:rPr>
              <w:t>97,2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8" w:space="0" w:color="BFBFBF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CC0FD2" w:rsidRPr="00CC0FD2" w:rsidRDefault="00CC0FD2" w:rsidP="00CC0FD2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 w:rsidRPr="00CC0FD2">
              <w:rPr>
                <w:rFonts w:ascii="Tahoma" w:eastAsia="Times New Roman" w:hAnsi="Tahoma" w:cs="Tahoma"/>
                <w:sz w:val="24"/>
                <w:szCs w:val="24"/>
              </w:rPr>
              <w:t>102,3</w:t>
            </w:r>
          </w:p>
        </w:tc>
        <w:tc>
          <w:tcPr>
            <w:tcW w:w="1677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CC0FD2" w:rsidRPr="00CC0FD2" w:rsidRDefault="00CC0FD2" w:rsidP="00CC0FD2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 w:rsidRPr="00CC0FD2">
              <w:rPr>
                <w:rFonts w:ascii="Tahoma" w:eastAsia="Times New Roman" w:hAnsi="Tahoma" w:cs="Tahoma"/>
                <w:sz w:val="24"/>
                <w:szCs w:val="24"/>
              </w:rPr>
              <w:t>-5,0%</w:t>
            </w:r>
          </w:p>
        </w:tc>
      </w:tr>
      <w:tr w:rsidR="00CC0FD2" w:rsidRPr="000276A8" w:rsidTr="00104F10">
        <w:trPr>
          <w:gridBefore w:val="1"/>
          <w:gridAfter w:val="1"/>
          <w:wBefore w:w="10" w:type="dxa"/>
          <w:wAfter w:w="38" w:type="dxa"/>
          <w:trHeight w:val="315"/>
        </w:trPr>
        <w:tc>
          <w:tcPr>
            <w:tcW w:w="3725" w:type="dxa"/>
            <w:tcBorders>
              <w:top w:val="none" w:sz="4" w:space="0" w:color="00000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:rsidR="00CC0FD2" w:rsidRPr="00CC0FD2" w:rsidRDefault="00CC0FD2" w:rsidP="00CC0FD2">
            <w:pPr>
              <w:ind w:firstLine="240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CC0FD2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EBITDA </w:t>
            </w:r>
          </w:p>
        </w:tc>
        <w:tc>
          <w:tcPr>
            <w:tcW w:w="2126" w:type="dxa"/>
            <w:tcBorders>
              <w:top w:val="single" w:sz="8" w:space="0" w:color="C0C0C0"/>
              <w:left w:val="none" w:sz="4" w:space="0" w:color="000000"/>
              <w:bottom w:val="single" w:sz="8" w:space="0" w:color="C0C0C0"/>
              <w:right w:val="single" w:sz="8" w:space="0" w:color="BFBFBF"/>
            </w:tcBorders>
            <w:vAlign w:val="center"/>
          </w:tcPr>
          <w:p w:rsidR="00CC0FD2" w:rsidRPr="00CC0FD2" w:rsidRDefault="00CC0FD2" w:rsidP="00CC0FD2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 w:rsidRPr="00CC0FD2">
              <w:rPr>
                <w:rFonts w:ascii="Tahoma" w:eastAsia="Times New Roman" w:hAnsi="Tahoma" w:cs="Tahoma"/>
                <w:sz w:val="24"/>
                <w:szCs w:val="24"/>
              </w:rPr>
              <w:t>127,3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8" w:space="0" w:color="BFBFBF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CC0FD2" w:rsidRPr="00CC0FD2" w:rsidRDefault="00CC0FD2" w:rsidP="00CC0FD2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 w:rsidRPr="00CC0FD2">
              <w:rPr>
                <w:rFonts w:ascii="Tahoma" w:eastAsia="Times New Roman" w:hAnsi="Tahoma" w:cs="Tahoma"/>
                <w:sz w:val="24"/>
                <w:szCs w:val="24"/>
              </w:rPr>
              <w:t>133,2</w:t>
            </w:r>
          </w:p>
        </w:tc>
        <w:tc>
          <w:tcPr>
            <w:tcW w:w="1677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CC0FD2" w:rsidRPr="00CC0FD2" w:rsidRDefault="00CC0FD2" w:rsidP="00CC0FD2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 w:rsidRPr="00CC0FD2">
              <w:rPr>
                <w:rFonts w:ascii="Tahoma" w:eastAsia="Times New Roman" w:hAnsi="Tahoma" w:cs="Tahoma"/>
                <w:sz w:val="24"/>
                <w:szCs w:val="24"/>
              </w:rPr>
              <w:t>-4,5%</w:t>
            </w:r>
          </w:p>
        </w:tc>
      </w:tr>
      <w:tr w:rsidR="00CC0FD2" w:rsidRPr="000276A8" w:rsidTr="00104F10">
        <w:trPr>
          <w:gridBefore w:val="1"/>
          <w:gridAfter w:val="1"/>
          <w:wBefore w:w="10" w:type="dxa"/>
          <w:wAfter w:w="38" w:type="dxa"/>
          <w:trHeight w:val="315"/>
        </w:trPr>
        <w:tc>
          <w:tcPr>
            <w:tcW w:w="3725" w:type="dxa"/>
            <w:tcBorders>
              <w:top w:val="none" w:sz="4" w:space="0" w:color="00000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:rsidR="00CC0FD2" w:rsidRPr="00CC0FD2" w:rsidRDefault="00CC0FD2" w:rsidP="00CC0FD2">
            <w:pPr>
              <w:ind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CC0FD2">
              <w:rPr>
                <w:rFonts w:ascii="Tahoma" w:eastAsia="Times New Roman" w:hAnsi="Tahoma" w:cs="Tahoma"/>
                <w:sz w:val="24"/>
                <w:szCs w:val="24"/>
              </w:rPr>
              <w:t xml:space="preserve">Капитальные расходы </w:t>
            </w:r>
          </w:p>
        </w:tc>
        <w:tc>
          <w:tcPr>
            <w:tcW w:w="2126" w:type="dxa"/>
            <w:tcBorders>
              <w:top w:val="single" w:sz="8" w:space="0" w:color="C0C0C0"/>
              <w:left w:val="none" w:sz="4" w:space="0" w:color="000000"/>
              <w:bottom w:val="single" w:sz="8" w:space="0" w:color="C0C0C0"/>
              <w:right w:val="single" w:sz="8" w:space="0" w:color="BFBFBF"/>
            </w:tcBorders>
            <w:vAlign w:val="center"/>
          </w:tcPr>
          <w:p w:rsidR="00CC0FD2" w:rsidRPr="00CC0FD2" w:rsidRDefault="00CC0FD2" w:rsidP="00CC0FD2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 w:rsidRPr="00CC0FD2">
              <w:rPr>
                <w:rFonts w:ascii="Tahoma" w:eastAsia="Times New Roman" w:hAnsi="Tahoma" w:cs="Tahoma"/>
                <w:sz w:val="24"/>
                <w:szCs w:val="24"/>
              </w:rPr>
              <w:t>35,5</w:t>
            </w:r>
          </w:p>
        </w:tc>
        <w:tc>
          <w:tcPr>
            <w:tcW w:w="2126" w:type="dxa"/>
            <w:tcBorders>
              <w:top w:val="none" w:sz="4" w:space="0" w:color="000000"/>
              <w:left w:val="single" w:sz="8" w:space="0" w:color="BFBFBF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CC0FD2" w:rsidRPr="00CC0FD2" w:rsidRDefault="00CC0FD2" w:rsidP="00CC0FD2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 w:rsidRPr="00CC0FD2">
              <w:rPr>
                <w:rFonts w:ascii="Tahoma" w:eastAsia="Times New Roman" w:hAnsi="Tahoma" w:cs="Tahoma"/>
                <w:sz w:val="24"/>
                <w:szCs w:val="24"/>
              </w:rPr>
              <w:t>30,5</w:t>
            </w:r>
          </w:p>
        </w:tc>
        <w:tc>
          <w:tcPr>
            <w:tcW w:w="1677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CC0FD2" w:rsidRPr="00CC0FD2" w:rsidRDefault="00104F10" w:rsidP="00CC0FD2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+</w:t>
            </w:r>
            <w:r w:rsidR="00CC0FD2" w:rsidRPr="00CC0FD2">
              <w:rPr>
                <w:rFonts w:ascii="Tahoma" w:eastAsia="Times New Roman" w:hAnsi="Tahoma" w:cs="Tahoma"/>
                <w:sz w:val="24"/>
                <w:szCs w:val="24"/>
              </w:rPr>
              <w:t>16,4%</w:t>
            </w:r>
          </w:p>
        </w:tc>
      </w:tr>
      <w:tr w:rsidR="00E027DA" w:rsidRPr="000276A8" w:rsidTr="00104F10">
        <w:trPr>
          <w:trHeight w:val="315"/>
        </w:trPr>
        <w:tc>
          <w:tcPr>
            <w:tcW w:w="9702" w:type="dxa"/>
            <w:gridSpan w:val="7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center"/>
          </w:tcPr>
          <w:p w:rsidR="00E027DA" w:rsidRPr="000276A8" w:rsidRDefault="00E027DA">
            <w:pPr>
              <w:rPr>
                <w:rFonts w:ascii="Tahoma" w:eastAsia="Times New Roman" w:hAnsi="Tahoma" w:cs="Tahoma"/>
                <w:sz w:val="24"/>
                <w:szCs w:val="24"/>
                <w:highlight w:val="yellow"/>
              </w:rPr>
            </w:pPr>
          </w:p>
        </w:tc>
      </w:tr>
      <w:tr w:rsidR="00E027DA" w:rsidRPr="000276A8" w:rsidTr="00104F10">
        <w:trPr>
          <w:gridAfter w:val="2"/>
          <w:wAfter w:w="48" w:type="dxa"/>
          <w:trHeight w:val="315"/>
        </w:trPr>
        <w:tc>
          <w:tcPr>
            <w:tcW w:w="3735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:rsidR="00E027DA" w:rsidRPr="00C36264" w:rsidRDefault="00C52C4E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C36264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Показатель,</w:t>
            </w:r>
            <w:r w:rsidRPr="00C36264">
              <w:rPr>
                <w:rFonts w:ascii="Tahoma" w:eastAsia="Times New Roman" w:hAnsi="Tahoma" w:cs="Tahoma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C36264">
              <w:rPr>
                <w:rFonts w:ascii="Tahoma" w:eastAsia="Times New Roman" w:hAnsi="Tahoma" w:cs="Tahoma"/>
                <w:b/>
                <w:bCs/>
                <w:iCs/>
                <w:sz w:val="24"/>
                <w:szCs w:val="24"/>
              </w:rPr>
              <w:t>млрд рублей*</w:t>
            </w:r>
          </w:p>
        </w:tc>
        <w:tc>
          <w:tcPr>
            <w:tcW w:w="2126" w:type="dxa"/>
            <w:tcBorders>
              <w:top w:val="single" w:sz="8" w:space="0" w:color="C0C0C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:rsidR="00E027DA" w:rsidRPr="00C36264" w:rsidRDefault="00C52C4E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C36264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На </w:t>
            </w:r>
            <w:r w:rsidR="00A476DA" w:rsidRPr="00C36264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3</w:t>
            </w:r>
            <w:r w:rsidR="00A476DA" w:rsidRPr="00C36264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0</w:t>
            </w:r>
            <w:r w:rsidRPr="00C36264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.</w:t>
            </w:r>
            <w:r w:rsidR="00A476DA" w:rsidRPr="00C36264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0</w:t>
            </w:r>
            <w:r w:rsidR="00C36264" w:rsidRPr="00C36264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9</w:t>
            </w:r>
            <w:r w:rsidRPr="00C36264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.2023 </w:t>
            </w:r>
          </w:p>
        </w:tc>
        <w:tc>
          <w:tcPr>
            <w:tcW w:w="2126" w:type="dxa"/>
            <w:tcBorders>
              <w:top w:val="single" w:sz="8" w:space="0" w:color="C0C0C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:rsidR="00E027DA" w:rsidRPr="00C36264" w:rsidRDefault="00C52C4E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C36264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На 31.12.2022 </w:t>
            </w:r>
          </w:p>
        </w:tc>
        <w:tc>
          <w:tcPr>
            <w:tcW w:w="1667" w:type="dxa"/>
            <w:tcBorders>
              <w:top w:val="single" w:sz="8" w:space="0" w:color="C0C0C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:rsidR="00E027DA" w:rsidRPr="00C36264" w:rsidRDefault="00C52C4E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C36264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+/- </w:t>
            </w:r>
          </w:p>
        </w:tc>
      </w:tr>
      <w:tr w:rsidR="00085531" w:rsidRPr="000276A8" w:rsidTr="00104F10">
        <w:trPr>
          <w:gridAfter w:val="2"/>
          <w:wAfter w:w="48" w:type="dxa"/>
          <w:trHeight w:val="315"/>
        </w:trPr>
        <w:tc>
          <w:tcPr>
            <w:tcW w:w="3735" w:type="dxa"/>
            <w:gridSpan w:val="2"/>
            <w:tcBorders>
              <w:top w:val="none" w:sz="4" w:space="0" w:color="00000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:rsidR="00085531" w:rsidRPr="00C84273" w:rsidRDefault="00085531" w:rsidP="00085531">
            <w:pPr>
              <w:spacing w:before="100" w:beforeAutospacing="1" w:line="210" w:lineRule="atLeast"/>
              <w:rPr>
                <w:rFonts w:ascii="Tahoma" w:eastAsia="Times New Roman" w:hAnsi="Tahoma" w:cs="Tahoma"/>
                <w:color w:val="333333"/>
                <w:sz w:val="18"/>
                <w:szCs w:val="18"/>
                <w:lang w:val="en-US"/>
              </w:rPr>
            </w:pPr>
            <w:r w:rsidRPr="00C84273">
              <w:rPr>
                <w:rFonts w:ascii="Tahoma" w:eastAsia="Times New Roman" w:hAnsi="Tahoma" w:cs="Tahoma"/>
                <w:color w:val="333333"/>
                <w:sz w:val="24"/>
                <w:szCs w:val="24"/>
              </w:rPr>
              <w:t xml:space="preserve">   </w:t>
            </w:r>
            <w:proofErr w:type="spellStart"/>
            <w:r w:rsidRPr="00C84273">
              <w:rPr>
                <w:rFonts w:ascii="Tahoma" w:eastAsia="Times New Roman" w:hAnsi="Tahoma" w:cs="Tahoma"/>
                <w:color w:val="333333"/>
                <w:sz w:val="24"/>
                <w:szCs w:val="24"/>
                <w:lang w:val="en-US"/>
              </w:rPr>
              <w:t>Совокупные</w:t>
            </w:r>
            <w:proofErr w:type="spellEnd"/>
            <w:r w:rsidRPr="00C84273">
              <w:rPr>
                <w:rFonts w:ascii="Tahoma" w:eastAsia="Times New Roman" w:hAnsi="Tahoma" w:cs="Tahoma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4273">
              <w:rPr>
                <w:rFonts w:ascii="Tahoma" w:eastAsia="Times New Roman" w:hAnsi="Tahoma" w:cs="Tahoma"/>
                <w:color w:val="333333"/>
                <w:sz w:val="24"/>
                <w:szCs w:val="24"/>
                <w:lang w:val="en-US"/>
              </w:rPr>
              <w:t>активы</w:t>
            </w:r>
            <w:proofErr w:type="spellEnd"/>
            <w:r w:rsidRPr="00C84273">
              <w:rPr>
                <w:rFonts w:ascii="Tahoma" w:eastAsia="Times New Roman" w:hAnsi="Tahoma" w:cs="Tahoma"/>
                <w:color w:val="333333"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085531" w:rsidRPr="00085531" w:rsidRDefault="00085531" w:rsidP="00085531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 w:rsidRPr="00085531">
              <w:rPr>
                <w:rFonts w:ascii="Tahoma" w:eastAsia="Times New Roman" w:hAnsi="Tahoma" w:cs="Tahoma"/>
                <w:sz w:val="24"/>
                <w:szCs w:val="24"/>
              </w:rPr>
              <w:t>1 222,3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085531" w:rsidRPr="00085531" w:rsidRDefault="00085531" w:rsidP="00085531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 w:rsidRPr="00085531">
              <w:rPr>
                <w:rFonts w:ascii="Tahoma" w:eastAsia="Times New Roman" w:hAnsi="Tahoma" w:cs="Tahoma"/>
                <w:sz w:val="24"/>
                <w:szCs w:val="24"/>
              </w:rPr>
              <w:t>1 122,0</w:t>
            </w:r>
          </w:p>
        </w:tc>
        <w:tc>
          <w:tcPr>
            <w:tcW w:w="1667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085531" w:rsidRPr="00085531" w:rsidRDefault="00104F10" w:rsidP="00085531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+</w:t>
            </w:r>
            <w:r w:rsidR="00085531" w:rsidRPr="00085531">
              <w:rPr>
                <w:rFonts w:ascii="Tahoma" w:eastAsia="Times New Roman" w:hAnsi="Tahoma" w:cs="Tahoma"/>
                <w:sz w:val="24"/>
                <w:szCs w:val="24"/>
              </w:rPr>
              <w:t>8,9%</w:t>
            </w:r>
          </w:p>
        </w:tc>
      </w:tr>
      <w:tr w:rsidR="00516360" w:rsidRPr="000276A8" w:rsidTr="00104F10">
        <w:trPr>
          <w:gridAfter w:val="2"/>
          <w:wAfter w:w="48" w:type="dxa"/>
          <w:trHeight w:val="315"/>
        </w:trPr>
        <w:tc>
          <w:tcPr>
            <w:tcW w:w="3735" w:type="dxa"/>
            <w:gridSpan w:val="2"/>
            <w:tcBorders>
              <w:top w:val="none" w:sz="4" w:space="0" w:color="00000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:rsidR="00516360" w:rsidRPr="00C84273" w:rsidRDefault="00516360" w:rsidP="00516360">
            <w:pPr>
              <w:ind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C84273">
              <w:rPr>
                <w:rFonts w:ascii="Tahoma" w:eastAsia="Times New Roman" w:hAnsi="Tahoma" w:cs="Tahoma"/>
                <w:sz w:val="24"/>
                <w:szCs w:val="24"/>
              </w:rPr>
              <w:t xml:space="preserve">Итого капитал 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516360" w:rsidRPr="00516360" w:rsidRDefault="00516360" w:rsidP="00516360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 w:rsidRPr="00516360">
              <w:rPr>
                <w:rFonts w:ascii="Tahoma" w:eastAsia="Times New Roman" w:hAnsi="Tahoma" w:cs="Tahoma"/>
                <w:sz w:val="24"/>
                <w:szCs w:val="24"/>
              </w:rPr>
              <w:t>893,</w:t>
            </w:r>
            <w:r w:rsidR="00085531">
              <w:rPr>
                <w:rFonts w:ascii="Tahoma" w:eastAsia="Times New Roman" w:hAnsi="Tahoma" w:cs="Tahoma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516360" w:rsidRPr="00516360" w:rsidRDefault="00516360" w:rsidP="00516360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 w:rsidRPr="00516360">
              <w:rPr>
                <w:rFonts w:ascii="Tahoma" w:eastAsia="Times New Roman" w:hAnsi="Tahoma" w:cs="Tahoma"/>
                <w:sz w:val="24"/>
                <w:szCs w:val="24"/>
              </w:rPr>
              <w:t>804,7</w:t>
            </w:r>
          </w:p>
        </w:tc>
        <w:tc>
          <w:tcPr>
            <w:tcW w:w="1667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516360" w:rsidRPr="00516360" w:rsidRDefault="00104F10" w:rsidP="00516360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+</w:t>
            </w:r>
            <w:r w:rsidR="00516360" w:rsidRPr="00516360">
              <w:rPr>
                <w:rFonts w:ascii="Tahoma" w:eastAsia="Times New Roman" w:hAnsi="Tahoma" w:cs="Tahoma"/>
                <w:sz w:val="24"/>
                <w:szCs w:val="24"/>
              </w:rPr>
              <w:t>11,0%</w:t>
            </w:r>
          </w:p>
        </w:tc>
      </w:tr>
      <w:tr w:rsidR="00516360" w:rsidRPr="000276A8" w:rsidTr="00104F10">
        <w:trPr>
          <w:gridAfter w:val="2"/>
          <w:wAfter w:w="48" w:type="dxa"/>
          <w:trHeight w:val="315"/>
        </w:trPr>
        <w:tc>
          <w:tcPr>
            <w:tcW w:w="3735" w:type="dxa"/>
            <w:gridSpan w:val="2"/>
            <w:tcBorders>
              <w:top w:val="none" w:sz="4" w:space="0" w:color="00000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:rsidR="00516360" w:rsidRPr="00C84273" w:rsidRDefault="00516360" w:rsidP="00516360">
            <w:pPr>
              <w:ind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C84273">
              <w:rPr>
                <w:rFonts w:ascii="Tahoma" w:eastAsia="Times New Roman" w:hAnsi="Tahoma" w:cs="Tahoma"/>
                <w:sz w:val="24"/>
                <w:szCs w:val="24"/>
              </w:rPr>
              <w:t xml:space="preserve">Кредиты и займы 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516360" w:rsidRPr="00516360" w:rsidRDefault="00516360" w:rsidP="00516360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 w:rsidRPr="00516360">
              <w:rPr>
                <w:rFonts w:ascii="Tahoma" w:eastAsia="Times New Roman" w:hAnsi="Tahoma" w:cs="Tahoma"/>
                <w:sz w:val="24"/>
                <w:szCs w:val="24"/>
              </w:rPr>
              <w:t>19,4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516360" w:rsidRPr="00516360" w:rsidRDefault="00516360" w:rsidP="00516360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 w:rsidRPr="00516360">
              <w:rPr>
                <w:rFonts w:ascii="Tahoma" w:eastAsia="Times New Roman" w:hAnsi="Tahoma" w:cs="Tahoma"/>
                <w:sz w:val="24"/>
                <w:szCs w:val="24"/>
              </w:rPr>
              <w:t>13,4</w:t>
            </w:r>
          </w:p>
        </w:tc>
        <w:tc>
          <w:tcPr>
            <w:tcW w:w="1667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516360" w:rsidRPr="00516360" w:rsidRDefault="00104F10" w:rsidP="00516360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+</w:t>
            </w:r>
            <w:r w:rsidR="00516360" w:rsidRPr="00516360">
              <w:rPr>
                <w:rFonts w:ascii="Tahoma" w:eastAsia="Times New Roman" w:hAnsi="Tahoma" w:cs="Tahoma"/>
                <w:sz w:val="24"/>
                <w:szCs w:val="24"/>
              </w:rPr>
              <w:t>45,1%</w:t>
            </w:r>
          </w:p>
        </w:tc>
      </w:tr>
      <w:tr w:rsidR="00516360" w:rsidRPr="000276A8" w:rsidTr="00104F10">
        <w:trPr>
          <w:gridAfter w:val="2"/>
          <w:wAfter w:w="48" w:type="dxa"/>
          <w:trHeight w:val="315"/>
        </w:trPr>
        <w:tc>
          <w:tcPr>
            <w:tcW w:w="3735" w:type="dxa"/>
            <w:gridSpan w:val="2"/>
            <w:tcBorders>
              <w:top w:val="none" w:sz="4" w:space="0" w:color="00000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:rsidR="00516360" w:rsidRPr="00C84273" w:rsidRDefault="00516360" w:rsidP="00516360">
            <w:pPr>
              <w:spacing w:before="100" w:beforeAutospacing="1" w:line="210" w:lineRule="atLeast"/>
              <w:rPr>
                <w:rFonts w:ascii="OpenSans" w:eastAsia="Times New Roman" w:hAnsi="OpenSans"/>
                <w:color w:val="333333"/>
                <w:sz w:val="18"/>
                <w:szCs w:val="18"/>
                <w:lang w:val="en-US"/>
              </w:rPr>
            </w:pPr>
            <w:r w:rsidRPr="00C84273">
              <w:rPr>
                <w:rFonts w:ascii="Tahoma" w:eastAsia="Times New Roman" w:hAnsi="Tahoma" w:cs="Tahoma"/>
                <w:color w:val="333333"/>
                <w:sz w:val="24"/>
                <w:szCs w:val="24"/>
              </w:rPr>
              <w:t xml:space="preserve">   </w:t>
            </w:r>
            <w:proofErr w:type="spellStart"/>
            <w:r w:rsidRPr="00C84273">
              <w:rPr>
                <w:rFonts w:ascii="Tahoma" w:eastAsia="Times New Roman" w:hAnsi="Tahoma" w:cs="Tahoma"/>
                <w:color w:val="333333"/>
                <w:sz w:val="24"/>
                <w:szCs w:val="24"/>
                <w:lang w:val="en-US"/>
              </w:rPr>
              <w:t>Обязательства</w:t>
            </w:r>
            <w:proofErr w:type="spellEnd"/>
            <w:r w:rsidRPr="00C84273">
              <w:rPr>
                <w:rFonts w:ascii="Tahoma" w:eastAsia="Times New Roman" w:hAnsi="Tahoma" w:cs="Tahoma"/>
                <w:color w:val="333333"/>
                <w:sz w:val="24"/>
                <w:szCs w:val="24"/>
                <w:lang w:val="en-US"/>
              </w:rPr>
              <w:t xml:space="preserve"> по </w:t>
            </w:r>
            <w:proofErr w:type="spellStart"/>
            <w:r w:rsidRPr="00C84273">
              <w:rPr>
                <w:rFonts w:ascii="Tahoma" w:eastAsia="Times New Roman" w:hAnsi="Tahoma" w:cs="Tahoma"/>
                <w:color w:val="333333"/>
                <w:sz w:val="24"/>
                <w:szCs w:val="24"/>
                <w:lang w:val="en-US"/>
              </w:rPr>
              <w:t>аренде</w:t>
            </w:r>
            <w:proofErr w:type="spellEnd"/>
            <w:r w:rsidRPr="00C84273">
              <w:rPr>
                <w:rFonts w:ascii="Tahoma" w:eastAsia="Times New Roman" w:hAnsi="Tahoma" w:cs="Tahoma"/>
                <w:color w:val="333333"/>
                <w:sz w:val="20"/>
                <w:szCs w:val="20"/>
                <w:lang w:val="en-US"/>
              </w:rPr>
              <w:t xml:space="preserve"> </w:t>
            </w:r>
            <w:r w:rsidRPr="00C84273">
              <w:rPr>
                <w:rFonts w:ascii="OpenSans" w:eastAsia="Times New Roman" w:hAnsi="OpenSans"/>
                <w:color w:val="333333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516360" w:rsidRPr="00516360" w:rsidRDefault="00516360" w:rsidP="00516360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 w:rsidRPr="00516360">
              <w:rPr>
                <w:rFonts w:ascii="Tahoma" w:eastAsia="Times New Roman" w:hAnsi="Tahoma" w:cs="Tahoma"/>
                <w:sz w:val="24"/>
                <w:szCs w:val="24"/>
              </w:rPr>
              <w:t>86,7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516360" w:rsidRPr="00516360" w:rsidRDefault="00516360" w:rsidP="00516360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 w:rsidRPr="00516360">
              <w:rPr>
                <w:rFonts w:ascii="Tahoma" w:eastAsia="Times New Roman" w:hAnsi="Tahoma" w:cs="Tahoma"/>
                <w:sz w:val="24"/>
                <w:szCs w:val="24"/>
              </w:rPr>
              <w:t>90,4</w:t>
            </w:r>
          </w:p>
        </w:tc>
        <w:tc>
          <w:tcPr>
            <w:tcW w:w="1667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516360" w:rsidRPr="00516360" w:rsidRDefault="00516360" w:rsidP="00516360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  <w:r w:rsidRPr="00516360">
              <w:rPr>
                <w:rFonts w:ascii="Tahoma" w:eastAsia="Times New Roman" w:hAnsi="Tahoma" w:cs="Tahoma"/>
                <w:sz w:val="24"/>
                <w:szCs w:val="24"/>
              </w:rPr>
              <w:t>-4,1%</w:t>
            </w:r>
          </w:p>
        </w:tc>
      </w:tr>
      <w:tr w:rsidR="00516360" w:rsidRPr="000276A8" w:rsidTr="00104F10">
        <w:trPr>
          <w:gridAfter w:val="2"/>
          <w:wAfter w:w="48" w:type="dxa"/>
          <w:trHeight w:val="315"/>
        </w:trPr>
        <w:tc>
          <w:tcPr>
            <w:tcW w:w="3735" w:type="dxa"/>
            <w:gridSpan w:val="2"/>
            <w:tcBorders>
              <w:top w:val="none" w:sz="4" w:space="0" w:color="00000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:rsidR="00516360" w:rsidRPr="00C84273" w:rsidRDefault="00516360" w:rsidP="00516360">
            <w:pPr>
              <w:spacing w:before="100" w:beforeAutospacing="1" w:line="210" w:lineRule="atLeast"/>
              <w:rPr>
                <w:rFonts w:ascii="OpenSans" w:eastAsia="Times New Roman" w:hAnsi="OpenSans"/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516360" w:rsidRPr="00516360" w:rsidRDefault="00516360" w:rsidP="00516360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516360" w:rsidRPr="00516360" w:rsidRDefault="00516360" w:rsidP="00516360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none" w:sz="4" w:space="0" w:color="000000"/>
              <w:left w:val="none" w:sz="4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516360" w:rsidRPr="00516360" w:rsidRDefault="00516360" w:rsidP="00516360">
            <w:pPr>
              <w:ind w:firstLine="240"/>
              <w:jc w:val="right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</w:tbl>
    <w:p w:rsidR="00E027DA" w:rsidRPr="0002032F" w:rsidRDefault="00C52C4E" w:rsidP="00104F10">
      <w:pPr>
        <w:spacing w:after="120" w:line="120" w:lineRule="atLeast"/>
        <w:jc w:val="both"/>
        <w:rPr>
          <w:rFonts w:ascii="Tahoma" w:eastAsia="Times New Roman" w:hAnsi="Tahoma" w:cs="Tahoma"/>
          <w:i/>
          <w:sz w:val="16"/>
          <w:szCs w:val="24"/>
        </w:rPr>
      </w:pPr>
      <w:r w:rsidRPr="0002032F">
        <w:rPr>
          <w:rFonts w:ascii="Tahoma" w:eastAsia="Times New Roman" w:hAnsi="Tahoma" w:cs="Tahoma"/>
          <w:i/>
          <w:sz w:val="16"/>
          <w:szCs w:val="24"/>
        </w:rPr>
        <w:t xml:space="preserve">* — Анализ финансовых показателей приведён на основании данных консолидированной финансовой отчётности по МСФО, округлённых до млрд рублей с одним знаком после запятой. При этом процентные соотношения рассчитаны исходя из данных консолидированной финансовой отчётности по МСФО, выраженных в млн рублей. </w:t>
      </w:r>
    </w:p>
    <w:p w:rsidR="00E027DA" w:rsidRPr="00104F10" w:rsidRDefault="00C52C4E">
      <w:pPr>
        <w:spacing w:before="100" w:beforeAutospacing="1" w:after="375" w:line="375" w:lineRule="atLeast"/>
        <w:jc w:val="center"/>
        <w:rPr>
          <w:rFonts w:ascii="Tahoma" w:eastAsia="Times New Roman" w:hAnsi="Tahoma" w:cs="Tahoma"/>
          <w:b/>
          <w:sz w:val="24"/>
          <w:szCs w:val="24"/>
        </w:rPr>
      </w:pPr>
      <w:r w:rsidRPr="00104F10">
        <w:rPr>
          <w:rFonts w:ascii="Tahoma" w:eastAsia="Times New Roman" w:hAnsi="Tahoma" w:cs="Tahoma"/>
          <w:b/>
          <w:sz w:val="24"/>
          <w:szCs w:val="24"/>
        </w:rPr>
        <w:t xml:space="preserve">На динамику финансовых результатов группы существенно повлияли следующие ключевые факторы и события: </w:t>
      </w:r>
    </w:p>
    <w:p w:rsidR="00824267" w:rsidRDefault="00824267" w:rsidP="00824267">
      <w:pPr>
        <w:pStyle w:val="aff6"/>
        <w:numPr>
          <w:ilvl w:val="0"/>
          <w:numId w:val="27"/>
        </w:numPr>
        <w:spacing w:after="375" w:line="375" w:lineRule="atLeast"/>
        <w:jc w:val="both"/>
        <w:rPr>
          <w:rFonts w:ascii="Tahoma" w:hAnsi="Tahoma" w:cs="Tahoma"/>
          <w:sz w:val="24"/>
          <w:szCs w:val="24"/>
          <w:lang w:val="ru-RU"/>
        </w:rPr>
      </w:pPr>
      <w:r w:rsidRPr="00824267">
        <w:rPr>
          <w:rFonts w:ascii="Tahoma" w:hAnsi="Tahoma" w:cs="Tahoma"/>
          <w:sz w:val="24"/>
          <w:szCs w:val="24"/>
          <w:lang w:val="ru-RU"/>
        </w:rPr>
        <w:t>Повышени</w:t>
      </w:r>
      <w:r w:rsidR="00104F10">
        <w:rPr>
          <w:rFonts w:ascii="Tahoma" w:hAnsi="Tahoma" w:cs="Tahoma"/>
          <w:sz w:val="24"/>
          <w:szCs w:val="24"/>
          <w:lang w:val="ru-RU"/>
        </w:rPr>
        <w:t>е</w:t>
      </w:r>
      <w:r w:rsidRPr="00824267">
        <w:rPr>
          <w:rFonts w:ascii="Tahoma" w:hAnsi="Tahoma" w:cs="Tahoma"/>
          <w:sz w:val="24"/>
          <w:szCs w:val="24"/>
          <w:lang w:val="ru-RU"/>
        </w:rPr>
        <w:t xml:space="preserve"> </w:t>
      </w:r>
      <w:r w:rsidRPr="00104F10">
        <w:rPr>
          <w:rFonts w:ascii="Tahoma" w:hAnsi="Tahoma" w:cs="Tahoma"/>
          <w:sz w:val="24"/>
          <w:szCs w:val="24"/>
          <w:lang w:val="ru-RU"/>
        </w:rPr>
        <w:t>эффективности операционной деятельности</w:t>
      </w:r>
      <w:r>
        <w:rPr>
          <w:rFonts w:ascii="Tahoma" w:hAnsi="Tahoma" w:cs="Tahoma"/>
          <w:sz w:val="24"/>
          <w:szCs w:val="24"/>
          <w:lang w:val="ru-RU"/>
        </w:rPr>
        <w:t xml:space="preserve"> сбытовых активов</w:t>
      </w:r>
      <w:r w:rsidRPr="00104F10">
        <w:rPr>
          <w:rFonts w:ascii="Tahoma" w:hAnsi="Tahoma" w:cs="Tahoma"/>
          <w:sz w:val="24"/>
          <w:szCs w:val="24"/>
          <w:lang w:val="ru-RU"/>
        </w:rPr>
        <w:t>,</w:t>
      </w:r>
    </w:p>
    <w:p w:rsidR="00824267" w:rsidRPr="00D814BC" w:rsidRDefault="00824267" w:rsidP="00104F10">
      <w:pPr>
        <w:pStyle w:val="aff6"/>
        <w:numPr>
          <w:ilvl w:val="0"/>
          <w:numId w:val="27"/>
        </w:numPr>
        <w:spacing w:after="375" w:line="375" w:lineRule="atLeast"/>
        <w:jc w:val="both"/>
        <w:rPr>
          <w:rFonts w:ascii="Tahoma" w:hAnsi="Tahoma" w:cs="Tahoma"/>
          <w:sz w:val="24"/>
          <w:szCs w:val="24"/>
        </w:rPr>
      </w:pPr>
      <w:r w:rsidRPr="00104F10">
        <w:rPr>
          <w:rFonts w:ascii="Tahoma" w:hAnsi="Tahoma" w:cs="Tahoma"/>
          <w:sz w:val="24"/>
          <w:szCs w:val="24"/>
          <w:lang w:val="ru-RU"/>
        </w:rPr>
        <w:t>Рост энергопотребления в РФ</w:t>
      </w:r>
      <w:r w:rsidR="00101C18">
        <w:rPr>
          <w:rFonts w:ascii="Tahoma" w:hAnsi="Tahoma" w:cs="Tahoma"/>
          <w:sz w:val="24"/>
          <w:szCs w:val="24"/>
          <w:lang w:val="ru-RU"/>
        </w:rPr>
        <w:t>,</w:t>
      </w:r>
    </w:p>
    <w:p w:rsidR="00101C18" w:rsidRDefault="00101C18" w:rsidP="00101C18">
      <w:pPr>
        <w:pStyle w:val="aff6"/>
        <w:numPr>
          <w:ilvl w:val="0"/>
          <w:numId w:val="27"/>
        </w:numPr>
        <w:spacing w:after="375" w:line="375" w:lineRule="atLeast"/>
        <w:jc w:val="both"/>
        <w:rPr>
          <w:rFonts w:ascii="Tahoma" w:hAnsi="Tahoma" w:cs="Tahoma"/>
          <w:sz w:val="24"/>
          <w:szCs w:val="24"/>
          <w:lang w:val="ru-RU"/>
        </w:rPr>
      </w:pPr>
      <w:r>
        <w:rPr>
          <w:rFonts w:ascii="Tahoma" w:hAnsi="Tahoma" w:cs="Tahoma"/>
          <w:sz w:val="24"/>
          <w:szCs w:val="24"/>
          <w:lang w:val="ru-RU"/>
        </w:rPr>
        <w:t>О</w:t>
      </w:r>
      <w:r w:rsidRPr="00824267">
        <w:rPr>
          <w:rFonts w:ascii="Tahoma" w:hAnsi="Tahoma" w:cs="Tahoma"/>
          <w:sz w:val="24"/>
          <w:szCs w:val="24"/>
          <w:lang w:val="ru-RU"/>
        </w:rPr>
        <w:t xml:space="preserve">существление </w:t>
      </w:r>
      <w:r w:rsidRPr="001167BA">
        <w:rPr>
          <w:rFonts w:ascii="Tahoma" w:hAnsi="Tahoma" w:cs="Tahoma"/>
          <w:sz w:val="24"/>
          <w:szCs w:val="24"/>
          <w:lang w:val="ru-RU"/>
        </w:rPr>
        <w:t>крупных проектов для электросетевого комплекса Российской Федерации, а также консолидация энергомашиностроительных компаний в периметр Группы</w:t>
      </w:r>
    </w:p>
    <w:p w:rsidR="00824267" w:rsidRPr="00104F10" w:rsidRDefault="00824267" w:rsidP="00104F10">
      <w:pPr>
        <w:pStyle w:val="aff6"/>
        <w:numPr>
          <w:ilvl w:val="0"/>
          <w:numId w:val="27"/>
        </w:numPr>
        <w:spacing w:after="375" w:line="375" w:lineRule="atLeast"/>
        <w:jc w:val="both"/>
        <w:rPr>
          <w:rFonts w:ascii="Tahoma" w:hAnsi="Tahoma" w:cs="Tahoma"/>
          <w:sz w:val="24"/>
          <w:szCs w:val="24"/>
          <w:lang w:val="ru-RU"/>
        </w:rPr>
      </w:pPr>
      <w:r w:rsidRPr="00104F10">
        <w:rPr>
          <w:rFonts w:ascii="Tahoma" w:hAnsi="Tahoma" w:cs="Tahoma"/>
          <w:sz w:val="24"/>
          <w:szCs w:val="24"/>
          <w:lang w:val="ru-RU"/>
        </w:rPr>
        <w:lastRenderedPageBreak/>
        <w:t>Благоприятная ценовая конъюнктура на рынке на сутки вперёд (РСВ)</w:t>
      </w:r>
      <w:r w:rsidR="00101C18">
        <w:rPr>
          <w:rFonts w:ascii="Tahoma" w:hAnsi="Tahoma" w:cs="Tahoma"/>
          <w:sz w:val="24"/>
          <w:szCs w:val="24"/>
          <w:lang w:val="ru-RU"/>
        </w:rPr>
        <w:t>,</w:t>
      </w:r>
    </w:p>
    <w:p w:rsidR="00824267" w:rsidRPr="00104F10" w:rsidRDefault="00824267" w:rsidP="00104F10">
      <w:pPr>
        <w:pStyle w:val="aff6"/>
        <w:numPr>
          <w:ilvl w:val="0"/>
          <w:numId w:val="27"/>
        </w:numPr>
        <w:spacing w:after="375" w:line="375" w:lineRule="atLeast"/>
        <w:jc w:val="both"/>
        <w:rPr>
          <w:rFonts w:ascii="Tahoma" w:hAnsi="Tahoma" w:cs="Tahoma"/>
          <w:sz w:val="24"/>
          <w:szCs w:val="24"/>
          <w:lang w:val="ru-RU"/>
        </w:rPr>
      </w:pPr>
      <w:r w:rsidRPr="00104F10">
        <w:rPr>
          <w:rFonts w:ascii="Tahoma" w:hAnsi="Tahoma" w:cs="Tahoma"/>
          <w:sz w:val="24"/>
          <w:szCs w:val="24"/>
          <w:lang w:val="ru-RU"/>
        </w:rPr>
        <w:t xml:space="preserve">Индексация тарифов на </w:t>
      </w:r>
      <w:r w:rsidR="00D814BC">
        <w:rPr>
          <w:rFonts w:ascii="Tahoma" w:hAnsi="Tahoma" w:cs="Tahoma"/>
          <w:sz w:val="24"/>
          <w:szCs w:val="24"/>
          <w:lang w:val="ru-RU"/>
        </w:rPr>
        <w:t>энергоресурсы</w:t>
      </w:r>
      <w:r w:rsidR="00101C18">
        <w:rPr>
          <w:rFonts w:ascii="Tahoma" w:hAnsi="Tahoma" w:cs="Tahoma"/>
          <w:sz w:val="24"/>
          <w:szCs w:val="24"/>
          <w:lang w:val="ru-RU"/>
        </w:rPr>
        <w:t>,</w:t>
      </w:r>
    </w:p>
    <w:p w:rsidR="00E027DA" w:rsidRPr="00104F10" w:rsidRDefault="00C52C4E" w:rsidP="00104F10">
      <w:pPr>
        <w:pStyle w:val="aff6"/>
        <w:numPr>
          <w:ilvl w:val="0"/>
          <w:numId w:val="27"/>
        </w:numPr>
        <w:spacing w:after="375" w:line="375" w:lineRule="atLeast"/>
        <w:jc w:val="both"/>
        <w:rPr>
          <w:rFonts w:ascii="Tahoma" w:hAnsi="Tahoma" w:cs="Tahoma"/>
          <w:sz w:val="24"/>
          <w:szCs w:val="24"/>
          <w:lang w:val="ru-RU"/>
        </w:rPr>
      </w:pPr>
      <w:r w:rsidRPr="00104F10">
        <w:rPr>
          <w:rFonts w:ascii="Tahoma" w:hAnsi="Tahoma" w:cs="Tahoma"/>
          <w:sz w:val="24"/>
          <w:szCs w:val="24"/>
          <w:lang w:val="ru-RU"/>
        </w:rPr>
        <w:t>Окончание действия договоров ДПМ по ряду объектов</w:t>
      </w:r>
      <w:r w:rsidR="00101C18">
        <w:rPr>
          <w:rFonts w:ascii="Tahoma" w:hAnsi="Tahoma" w:cs="Tahoma"/>
          <w:sz w:val="24"/>
          <w:szCs w:val="24"/>
          <w:lang w:val="ru-RU"/>
        </w:rPr>
        <w:t>,</w:t>
      </w:r>
    </w:p>
    <w:p w:rsidR="00E027DA" w:rsidRPr="00104F10" w:rsidRDefault="00C52C4E" w:rsidP="00104F10">
      <w:pPr>
        <w:pStyle w:val="aff6"/>
        <w:numPr>
          <w:ilvl w:val="0"/>
          <w:numId w:val="27"/>
        </w:numPr>
        <w:spacing w:after="375" w:line="375" w:lineRule="atLeast"/>
        <w:jc w:val="both"/>
        <w:rPr>
          <w:rFonts w:ascii="Tahoma" w:hAnsi="Tahoma" w:cs="Tahoma"/>
          <w:sz w:val="24"/>
          <w:szCs w:val="24"/>
          <w:lang w:val="ru-RU"/>
        </w:rPr>
      </w:pPr>
      <w:r w:rsidRPr="00104F10">
        <w:rPr>
          <w:rFonts w:ascii="Tahoma" w:hAnsi="Tahoma" w:cs="Tahoma"/>
          <w:sz w:val="24"/>
          <w:szCs w:val="24"/>
          <w:lang w:val="ru-RU"/>
        </w:rPr>
        <w:t xml:space="preserve">Переориентация экспортных поставок на </w:t>
      </w:r>
      <w:r w:rsidR="008159D6" w:rsidRPr="00104F10">
        <w:rPr>
          <w:rFonts w:ascii="Tahoma" w:hAnsi="Tahoma" w:cs="Tahoma"/>
          <w:sz w:val="24"/>
          <w:szCs w:val="24"/>
          <w:lang w:val="ru-RU"/>
        </w:rPr>
        <w:t>восточное направление</w:t>
      </w:r>
    </w:p>
    <w:p w:rsidR="00E027DA" w:rsidRPr="00225AC2" w:rsidRDefault="00C52C4E" w:rsidP="00A2378A">
      <w:pPr>
        <w:spacing w:before="100" w:beforeAutospacing="1" w:after="375" w:line="375" w:lineRule="atLeast"/>
        <w:jc w:val="center"/>
        <w:rPr>
          <w:rFonts w:ascii="Tahoma" w:eastAsia="Times New Roman" w:hAnsi="Tahoma" w:cs="Tahoma"/>
          <w:b/>
          <w:bCs/>
          <w:sz w:val="24"/>
          <w:szCs w:val="24"/>
        </w:rPr>
      </w:pPr>
      <w:bookmarkStart w:id="1" w:name="_GoBack"/>
      <w:r w:rsidRPr="00AB7416">
        <w:rPr>
          <w:rFonts w:ascii="Tahoma" w:eastAsia="Times New Roman" w:hAnsi="Tahoma" w:cs="Tahoma"/>
          <w:b/>
          <w:bCs/>
          <w:sz w:val="24"/>
          <w:szCs w:val="24"/>
        </w:rPr>
        <w:t>ПРОМЕЖУТОЧНЫЙ КОНСОЛИДИРОВАННЫЙ ОТЧЁТ О СОВОКУПНОМ ДОХОДЕ</w:t>
      </w:r>
    </w:p>
    <w:bookmarkEnd w:id="1"/>
    <w:p w:rsidR="00E027DA" w:rsidRPr="00225AC2" w:rsidRDefault="00C52C4E">
      <w:pPr>
        <w:rPr>
          <w:rFonts w:ascii="Tahoma" w:eastAsia="Times New Roman" w:hAnsi="Tahoma" w:cs="Tahoma"/>
          <w:b/>
          <w:bCs/>
          <w:sz w:val="24"/>
          <w:szCs w:val="24"/>
        </w:rPr>
      </w:pPr>
      <w:r w:rsidRPr="00225AC2">
        <w:rPr>
          <w:rFonts w:ascii="Tahoma" w:eastAsia="Times New Roman" w:hAnsi="Tahoma" w:cs="Tahoma"/>
          <w:b/>
          <w:bCs/>
          <w:sz w:val="24"/>
          <w:szCs w:val="24"/>
        </w:rPr>
        <w:t xml:space="preserve">Выручка Группы </w:t>
      </w:r>
      <w:r w:rsidR="00602B5B" w:rsidRPr="00225AC2">
        <w:rPr>
          <w:rFonts w:ascii="Tahoma" w:eastAsia="Times New Roman" w:hAnsi="Tahoma" w:cs="Tahoma"/>
          <w:b/>
          <w:bCs/>
          <w:sz w:val="24"/>
          <w:szCs w:val="24"/>
        </w:rPr>
        <w:t xml:space="preserve">увеличилась </w:t>
      </w:r>
      <w:r w:rsidRPr="00225AC2">
        <w:rPr>
          <w:rFonts w:ascii="Tahoma" w:eastAsia="Times New Roman" w:hAnsi="Tahoma" w:cs="Tahoma"/>
          <w:b/>
          <w:bCs/>
          <w:sz w:val="24"/>
          <w:szCs w:val="24"/>
        </w:rPr>
        <w:t xml:space="preserve">на </w:t>
      </w:r>
      <w:r w:rsidR="00225AC2" w:rsidRPr="00225AC2">
        <w:rPr>
          <w:rFonts w:ascii="Tahoma" w:eastAsia="Times New Roman" w:hAnsi="Tahoma" w:cs="Tahoma"/>
          <w:b/>
          <w:bCs/>
          <w:sz w:val="24"/>
          <w:szCs w:val="24"/>
        </w:rPr>
        <w:t>7</w:t>
      </w:r>
      <w:r w:rsidRPr="00225AC2">
        <w:rPr>
          <w:rFonts w:ascii="Tahoma" w:eastAsia="Times New Roman" w:hAnsi="Tahoma" w:cs="Tahoma"/>
          <w:b/>
          <w:bCs/>
          <w:sz w:val="24"/>
          <w:szCs w:val="24"/>
        </w:rPr>
        <w:t>,</w:t>
      </w:r>
      <w:r w:rsidR="00225AC2" w:rsidRPr="00225AC2">
        <w:rPr>
          <w:rFonts w:ascii="Tahoma" w:eastAsia="Times New Roman" w:hAnsi="Tahoma" w:cs="Tahoma"/>
          <w:b/>
          <w:bCs/>
          <w:sz w:val="24"/>
          <w:szCs w:val="24"/>
        </w:rPr>
        <w:t>3</w:t>
      </w:r>
      <w:r w:rsidRPr="00225AC2">
        <w:rPr>
          <w:rFonts w:ascii="Tahoma" w:eastAsia="Times New Roman" w:hAnsi="Tahoma" w:cs="Tahoma"/>
          <w:b/>
          <w:bCs/>
          <w:sz w:val="24"/>
          <w:szCs w:val="24"/>
        </w:rPr>
        <w:t>% (</w:t>
      </w:r>
      <w:r w:rsidR="00225AC2" w:rsidRPr="00225AC2">
        <w:rPr>
          <w:rFonts w:ascii="Tahoma" w:eastAsia="Times New Roman" w:hAnsi="Tahoma" w:cs="Tahoma"/>
          <w:b/>
          <w:bCs/>
          <w:sz w:val="24"/>
          <w:szCs w:val="24"/>
        </w:rPr>
        <w:t>65</w:t>
      </w:r>
      <w:r w:rsidRPr="00225AC2">
        <w:rPr>
          <w:rFonts w:ascii="Tahoma" w:eastAsia="Times New Roman" w:hAnsi="Tahoma" w:cs="Tahoma"/>
          <w:b/>
          <w:bCs/>
          <w:sz w:val="24"/>
          <w:szCs w:val="24"/>
        </w:rPr>
        <w:t>,</w:t>
      </w:r>
      <w:r w:rsidR="00225AC2" w:rsidRPr="00225AC2">
        <w:rPr>
          <w:rFonts w:ascii="Tahoma" w:eastAsia="Times New Roman" w:hAnsi="Tahoma" w:cs="Tahoma"/>
          <w:b/>
          <w:bCs/>
          <w:sz w:val="24"/>
          <w:szCs w:val="24"/>
        </w:rPr>
        <w:t>8</w:t>
      </w:r>
      <w:r w:rsidR="00602B5B" w:rsidRPr="00225AC2">
        <w:rPr>
          <w:rFonts w:ascii="Tahoma" w:eastAsia="Times New Roman" w:hAnsi="Tahoma" w:cs="Tahoma"/>
          <w:b/>
          <w:bCs/>
          <w:sz w:val="24"/>
          <w:szCs w:val="24"/>
        </w:rPr>
        <w:t xml:space="preserve"> </w:t>
      </w:r>
      <w:r w:rsidRPr="00225AC2">
        <w:rPr>
          <w:rFonts w:ascii="Tahoma" w:eastAsia="Times New Roman" w:hAnsi="Tahoma" w:cs="Tahoma"/>
          <w:b/>
          <w:bCs/>
          <w:sz w:val="24"/>
          <w:szCs w:val="24"/>
        </w:rPr>
        <w:t>млрд рублей) и составила</w:t>
      </w:r>
    </w:p>
    <w:p w:rsidR="00E027DA" w:rsidRPr="00225AC2" w:rsidRDefault="00225AC2">
      <w:pPr>
        <w:rPr>
          <w:rFonts w:ascii="Tahoma" w:eastAsia="Times New Roman" w:hAnsi="Tahoma" w:cs="Tahoma"/>
          <w:b/>
          <w:bCs/>
          <w:sz w:val="24"/>
          <w:szCs w:val="24"/>
        </w:rPr>
      </w:pPr>
      <w:r w:rsidRPr="00225AC2">
        <w:rPr>
          <w:rFonts w:ascii="Tahoma" w:eastAsia="Times New Roman" w:hAnsi="Tahoma" w:cs="Tahoma"/>
          <w:b/>
          <w:bCs/>
          <w:sz w:val="24"/>
          <w:szCs w:val="24"/>
        </w:rPr>
        <w:t>969</w:t>
      </w:r>
      <w:r w:rsidR="00C52C4E" w:rsidRPr="00225AC2">
        <w:rPr>
          <w:rFonts w:ascii="Tahoma" w:eastAsia="Times New Roman" w:hAnsi="Tahoma" w:cs="Tahoma"/>
          <w:b/>
          <w:bCs/>
          <w:sz w:val="24"/>
          <w:szCs w:val="24"/>
        </w:rPr>
        <w:t>,</w:t>
      </w:r>
      <w:r w:rsidRPr="00225AC2">
        <w:rPr>
          <w:rFonts w:ascii="Tahoma" w:eastAsia="Times New Roman" w:hAnsi="Tahoma" w:cs="Tahoma"/>
          <w:b/>
          <w:bCs/>
          <w:sz w:val="24"/>
          <w:szCs w:val="24"/>
        </w:rPr>
        <w:t>2</w:t>
      </w:r>
      <w:r w:rsidR="00602B5B" w:rsidRPr="00225AC2">
        <w:rPr>
          <w:rFonts w:ascii="Tahoma" w:eastAsia="Times New Roman" w:hAnsi="Tahoma" w:cs="Tahoma"/>
          <w:b/>
          <w:bCs/>
          <w:sz w:val="24"/>
          <w:szCs w:val="24"/>
        </w:rPr>
        <w:t xml:space="preserve"> </w:t>
      </w:r>
      <w:r w:rsidR="00C52C4E" w:rsidRPr="00225AC2">
        <w:rPr>
          <w:rFonts w:ascii="Tahoma" w:eastAsia="Times New Roman" w:hAnsi="Tahoma" w:cs="Tahoma"/>
          <w:b/>
          <w:bCs/>
          <w:sz w:val="24"/>
          <w:szCs w:val="24"/>
        </w:rPr>
        <w:t>млрд рублей.</w:t>
      </w:r>
    </w:p>
    <w:p w:rsidR="00B7025A" w:rsidRPr="00CC4B57" w:rsidRDefault="00602B5B" w:rsidP="00B7025A">
      <w:pPr>
        <w:spacing w:before="100" w:beforeAutospacing="1" w:after="375" w:line="375" w:lineRule="atLeast"/>
        <w:jc w:val="both"/>
        <w:rPr>
          <w:rFonts w:ascii="Tahoma" w:eastAsia="Times New Roman" w:hAnsi="Tahoma" w:cs="Tahoma"/>
          <w:sz w:val="24"/>
          <w:szCs w:val="24"/>
        </w:rPr>
      </w:pPr>
      <w:r w:rsidRPr="00CC4B57">
        <w:rPr>
          <w:rFonts w:ascii="Tahoma" w:eastAsia="Times New Roman" w:hAnsi="Tahoma" w:cs="Tahoma"/>
          <w:sz w:val="24"/>
          <w:szCs w:val="24"/>
        </w:rPr>
        <w:t xml:space="preserve">Лидер по росту выручки – </w:t>
      </w:r>
      <w:r w:rsidR="00B7025A" w:rsidRPr="00CC4B57">
        <w:rPr>
          <w:rFonts w:ascii="Tahoma" w:eastAsia="Times New Roman" w:hAnsi="Tahoma" w:cs="Tahoma"/>
          <w:b/>
          <w:i/>
          <w:sz w:val="24"/>
          <w:szCs w:val="24"/>
        </w:rPr>
        <w:t>сбытовой сегмент,</w:t>
      </w:r>
      <w:r w:rsidR="00B7025A" w:rsidRPr="00CC4B57">
        <w:rPr>
          <w:rFonts w:ascii="Tahoma" w:eastAsia="Times New Roman" w:hAnsi="Tahoma" w:cs="Tahoma"/>
          <w:sz w:val="24"/>
          <w:szCs w:val="24"/>
        </w:rPr>
        <w:t xml:space="preserve"> выручка которого увеличилась на </w:t>
      </w:r>
      <w:r w:rsidR="00CC4B57" w:rsidRPr="00CC4B57">
        <w:rPr>
          <w:rFonts w:ascii="Tahoma" w:eastAsia="Times New Roman" w:hAnsi="Tahoma" w:cs="Tahoma"/>
          <w:sz w:val="24"/>
          <w:szCs w:val="24"/>
        </w:rPr>
        <w:t>59</w:t>
      </w:r>
      <w:r w:rsidR="00B7025A" w:rsidRPr="00CC4B57">
        <w:rPr>
          <w:rFonts w:ascii="Tahoma" w:eastAsia="Times New Roman" w:hAnsi="Tahoma" w:cs="Tahoma"/>
          <w:sz w:val="24"/>
          <w:szCs w:val="24"/>
        </w:rPr>
        <w:t>,</w:t>
      </w:r>
      <w:r w:rsidR="00CC4B57" w:rsidRPr="00CC4B57">
        <w:rPr>
          <w:rFonts w:ascii="Tahoma" w:eastAsia="Times New Roman" w:hAnsi="Tahoma" w:cs="Tahoma"/>
          <w:sz w:val="24"/>
          <w:szCs w:val="24"/>
        </w:rPr>
        <w:t>5</w:t>
      </w:r>
      <w:r w:rsidR="00B7025A" w:rsidRPr="00CC4B57">
        <w:rPr>
          <w:rFonts w:ascii="Tahoma" w:eastAsia="Times New Roman" w:hAnsi="Tahoma" w:cs="Tahoma"/>
          <w:sz w:val="24"/>
          <w:szCs w:val="24"/>
        </w:rPr>
        <w:t xml:space="preserve"> млрд рублей (</w:t>
      </w:r>
      <w:r w:rsidR="00CC4B57" w:rsidRPr="00CC4B57">
        <w:rPr>
          <w:rFonts w:ascii="Tahoma" w:eastAsia="Times New Roman" w:hAnsi="Tahoma" w:cs="Tahoma"/>
          <w:sz w:val="24"/>
          <w:szCs w:val="24"/>
        </w:rPr>
        <w:t>9</w:t>
      </w:r>
      <w:r w:rsidR="00B7025A" w:rsidRPr="00CC4B57">
        <w:rPr>
          <w:rFonts w:ascii="Tahoma" w:eastAsia="Times New Roman" w:hAnsi="Tahoma" w:cs="Tahoma"/>
          <w:sz w:val="24"/>
          <w:szCs w:val="24"/>
        </w:rPr>
        <w:t>,</w:t>
      </w:r>
      <w:r w:rsidR="00CC4B57" w:rsidRPr="00CC4B57">
        <w:rPr>
          <w:rFonts w:ascii="Tahoma" w:eastAsia="Times New Roman" w:hAnsi="Tahoma" w:cs="Tahoma"/>
          <w:sz w:val="24"/>
          <w:szCs w:val="24"/>
        </w:rPr>
        <w:t>9</w:t>
      </w:r>
      <w:r w:rsidR="00B7025A" w:rsidRPr="00CC4B57">
        <w:rPr>
          <w:rFonts w:ascii="Tahoma" w:eastAsia="Times New Roman" w:hAnsi="Tahoma" w:cs="Tahoma"/>
          <w:sz w:val="24"/>
          <w:szCs w:val="24"/>
        </w:rPr>
        <w:t xml:space="preserve">%), до </w:t>
      </w:r>
      <w:r w:rsidR="00CC4B57" w:rsidRPr="00CC4B57">
        <w:rPr>
          <w:rFonts w:ascii="Tahoma" w:eastAsia="Times New Roman" w:hAnsi="Tahoma" w:cs="Tahoma"/>
          <w:sz w:val="24"/>
          <w:szCs w:val="24"/>
        </w:rPr>
        <w:t>658</w:t>
      </w:r>
      <w:r w:rsidR="00B7025A" w:rsidRPr="00CC4B57">
        <w:rPr>
          <w:rFonts w:ascii="Tahoma" w:eastAsia="Times New Roman" w:hAnsi="Tahoma" w:cs="Tahoma"/>
          <w:sz w:val="24"/>
          <w:szCs w:val="24"/>
        </w:rPr>
        <w:t>,</w:t>
      </w:r>
      <w:r w:rsidR="007005BC" w:rsidRPr="00CC4B57">
        <w:rPr>
          <w:rFonts w:ascii="Tahoma" w:eastAsia="Times New Roman" w:hAnsi="Tahoma" w:cs="Tahoma"/>
          <w:sz w:val="24"/>
          <w:szCs w:val="24"/>
        </w:rPr>
        <w:t>8</w:t>
      </w:r>
      <w:r w:rsidR="00B7025A" w:rsidRPr="00CC4B57">
        <w:rPr>
          <w:rFonts w:ascii="Tahoma" w:eastAsia="Times New Roman" w:hAnsi="Tahoma" w:cs="Tahoma"/>
          <w:sz w:val="24"/>
          <w:szCs w:val="24"/>
        </w:rPr>
        <w:t xml:space="preserve"> млрд рублей. Позитивный эффект достигнут </w:t>
      </w:r>
      <w:r w:rsidR="00B73CB6" w:rsidRPr="00CC4B57">
        <w:rPr>
          <w:rFonts w:ascii="Tahoma" w:eastAsia="Times New Roman" w:hAnsi="Tahoma" w:cs="Tahoma"/>
          <w:sz w:val="24"/>
          <w:szCs w:val="24"/>
        </w:rPr>
        <w:t>благодаря повышению эффективности операционной деятельности</w:t>
      </w:r>
      <w:r w:rsidR="00D44177">
        <w:rPr>
          <w:rFonts w:ascii="Tahoma" w:eastAsia="Times New Roman" w:hAnsi="Tahoma" w:cs="Tahoma"/>
          <w:sz w:val="24"/>
          <w:szCs w:val="24"/>
        </w:rPr>
        <w:t xml:space="preserve">, </w:t>
      </w:r>
      <w:r w:rsidR="00D44177" w:rsidRPr="00D44177">
        <w:rPr>
          <w:rFonts w:ascii="Tahoma" w:eastAsia="Times New Roman" w:hAnsi="Tahoma" w:cs="Tahoma"/>
          <w:sz w:val="24"/>
          <w:szCs w:val="24"/>
        </w:rPr>
        <w:t>тарифно-балансовы</w:t>
      </w:r>
      <w:r w:rsidR="00D44177">
        <w:rPr>
          <w:rFonts w:ascii="Tahoma" w:eastAsia="Times New Roman" w:hAnsi="Tahoma" w:cs="Tahoma"/>
          <w:sz w:val="24"/>
          <w:szCs w:val="24"/>
        </w:rPr>
        <w:t>м</w:t>
      </w:r>
      <w:r w:rsidR="00D44177" w:rsidRPr="00D44177">
        <w:rPr>
          <w:rFonts w:ascii="Tahoma" w:eastAsia="Times New Roman" w:hAnsi="Tahoma" w:cs="Tahoma"/>
          <w:sz w:val="24"/>
          <w:szCs w:val="24"/>
        </w:rPr>
        <w:t xml:space="preserve"> решени</w:t>
      </w:r>
      <w:r w:rsidR="00D44177">
        <w:rPr>
          <w:rFonts w:ascii="Tahoma" w:eastAsia="Times New Roman" w:hAnsi="Tahoma" w:cs="Tahoma"/>
          <w:sz w:val="24"/>
          <w:szCs w:val="24"/>
        </w:rPr>
        <w:t>ям</w:t>
      </w:r>
      <w:r w:rsidR="00B73CB6" w:rsidRPr="00CC4B57">
        <w:rPr>
          <w:rFonts w:ascii="Tahoma" w:eastAsia="Times New Roman" w:hAnsi="Tahoma" w:cs="Tahoma"/>
          <w:sz w:val="24"/>
          <w:szCs w:val="24"/>
        </w:rPr>
        <w:t xml:space="preserve"> и расширению клиентской базы</w:t>
      </w:r>
      <w:r w:rsidR="00B7025A" w:rsidRPr="00CC4B57">
        <w:rPr>
          <w:rFonts w:ascii="Tahoma" w:eastAsia="Times New Roman" w:hAnsi="Tahoma" w:cs="Tahoma"/>
          <w:sz w:val="24"/>
          <w:szCs w:val="24"/>
        </w:rPr>
        <w:t xml:space="preserve">. </w:t>
      </w:r>
    </w:p>
    <w:p w:rsidR="00B7025A" w:rsidRPr="00DA474D" w:rsidRDefault="00B7025A" w:rsidP="00B7025A">
      <w:pPr>
        <w:spacing w:after="60" w:line="375" w:lineRule="atLeast"/>
        <w:jc w:val="both"/>
        <w:rPr>
          <w:rFonts w:ascii="Tahoma" w:eastAsia="Times New Roman" w:hAnsi="Tahoma" w:cs="Tahoma"/>
          <w:sz w:val="24"/>
          <w:szCs w:val="24"/>
        </w:rPr>
      </w:pPr>
      <w:r w:rsidRPr="00DA474D">
        <w:rPr>
          <w:rFonts w:ascii="Tahoma" w:eastAsia="Times New Roman" w:hAnsi="Tahoma" w:cs="Tahoma"/>
          <w:b/>
          <w:sz w:val="24"/>
          <w:szCs w:val="24"/>
        </w:rPr>
        <w:t xml:space="preserve">Выручка </w:t>
      </w:r>
      <w:r w:rsidRPr="00DA474D">
        <w:rPr>
          <w:rFonts w:ascii="Tahoma" w:eastAsia="Times New Roman" w:hAnsi="Tahoma" w:cs="Tahoma"/>
          <w:b/>
          <w:i/>
          <w:sz w:val="24"/>
          <w:szCs w:val="24"/>
        </w:rPr>
        <w:t>в сегменте «</w:t>
      </w:r>
      <w:proofErr w:type="spellStart"/>
      <w:r w:rsidRPr="00DA474D">
        <w:rPr>
          <w:rFonts w:ascii="Tahoma" w:eastAsia="Times New Roman" w:hAnsi="Tahoma" w:cs="Tahoma"/>
          <w:b/>
          <w:i/>
          <w:sz w:val="24"/>
          <w:szCs w:val="24"/>
        </w:rPr>
        <w:t>Электрогенерация</w:t>
      </w:r>
      <w:proofErr w:type="spellEnd"/>
      <w:r w:rsidRPr="00DA474D">
        <w:rPr>
          <w:rFonts w:ascii="Tahoma" w:eastAsia="Times New Roman" w:hAnsi="Tahoma" w:cs="Tahoma"/>
          <w:b/>
          <w:i/>
          <w:sz w:val="24"/>
          <w:szCs w:val="24"/>
        </w:rPr>
        <w:t xml:space="preserve"> в Российской Федерации» </w:t>
      </w:r>
      <w:r w:rsidRPr="00DA474D">
        <w:rPr>
          <w:rFonts w:ascii="Tahoma" w:eastAsia="Times New Roman" w:hAnsi="Tahoma" w:cs="Tahoma"/>
          <w:sz w:val="24"/>
          <w:szCs w:val="24"/>
        </w:rPr>
        <w:t xml:space="preserve">увеличилась относительно сопоставимого периода на </w:t>
      </w:r>
      <w:r w:rsidR="00DA474D" w:rsidRPr="00DA474D">
        <w:rPr>
          <w:rFonts w:ascii="Tahoma" w:eastAsia="Times New Roman" w:hAnsi="Tahoma" w:cs="Tahoma"/>
          <w:sz w:val="24"/>
          <w:szCs w:val="24"/>
        </w:rPr>
        <w:t>8</w:t>
      </w:r>
      <w:r w:rsidR="007005BC" w:rsidRPr="00DA474D">
        <w:rPr>
          <w:rFonts w:ascii="Tahoma" w:eastAsia="Times New Roman" w:hAnsi="Tahoma" w:cs="Tahoma"/>
          <w:sz w:val="24"/>
          <w:szCs w:val="24"/>
        </w:rPr>
        <w:t>,</w:t>
      </w:r>
      <w:r w:rsidR="00DA474D" w:rsidRPr="00DA474D">
        <w:rPr>
          <w:rFonts w:ascii="Tahoma" w:eastAsia="Times New Roman" w:hAnsi="Tahoma" w:cs="Tahoma"/>
          <w:sz w:val="24"/>
          <w:szCs w:val="24"/>
        </w:rPr>
        <w:t>5</w:t>
      </w:r>
      <w:r w:rsidRPr="00DA474D">
        <w:rPr>
          <w:rFonts w:ascii="Tahoma" w:eastAsia="Times New Roman" w:hAnsi="Tahoma" w:cs="Tahoma"/>
          <w:sz w:val="24"/>
          <w:szCs w:val="24"/>
        </w:rPr>
        <w:t xml:space="preserve"> млрд рублей (</w:t>
      </w:r>
      <w:r w:rsidR="00DA474D" w:rsidRPr="00DA474D">
        <w:rPr>
          <w:rFonts w:ascii="Tahoma" w:eastAsia="Times New Roman" w:hAnsi="Tahoma" w:cs="Tahoma"/>
          <w:sz w:val="24"/>
          <w:szCs w:val="24"/>
        </w:rPr>
        <w:t>7</w:t>
      </w:r>
      <w:r w:rsidRPr="00DA474D">
        <w:rPr>
          <w:rFonts w:ascii="Tahoma" w:eastAsia="Times New Roman" w:hAnsi="Tahoma" w:cs="Tahoma"/>
          <w:sz w:val="24"/>
          <w:szCs w:val="24"/>
        </w:rPr>
        <w:t>,</w:t>
      </w:r>
      <w:r w:rsidR="00DA474D" w:rsidRPr="00DA474D">
        <w:rPr>
          <w:rFonts w:ascii="Tahoma" w:eastAsia="Times New Roman" w:hAnsi="Tahoma" w:cs="Tahoma"/>
          <w:sz w:val="24"/>
          <w:szCs w:val="24"/>
        </w:rPr>
        <w:t>8</w:t>
      </w:r>
      <w:r w:rsidRPr="00DA474D">
        <w:rPr>
          <w:rFonts w:ascii="Tahoma" w:eastAsia="Times New Roman" w:hAnsi="Tahoma" w:cs="Tahoma"/>
          <w:sz w:val="24"/>
          <w:szCs w:val="24"/>
        </w:rPr>
        <w:t>%)</w:t>
      </w:r>
      <w:r w:rsidR="00D40AFE">
        <w:rPr>
          <w:rFonts w:ascii="Tahoma" w:eastAsia="Times New Roman" w:hAnsi="Tahoma" w:cs="Tahoma"/>
          <w:sz w:val="24"/>
          <w:szCs w:val="24"/>
        </w:rPr>
        <w:t>,</w:t>
      </w:r>
      <w:r w:rsidRPr="00DA474D">
        <w:rPr>
          <w:rFonts w:ascii="Tahoma" w:eastAsia="Times New Roman" w:hAnsi="Tahoma" w:cs="Tahoma"/>
          <w:sz w:val="24"/>
          <w:szCs w:val="24"/>
        </w:rPr>
        <w:t xml:space="preserve"> до </w:t>
      </w:r>
      <w:r w:rsidR="00DA474D" w:rsidRPr="00DA474D">
        <w:rPr>
          <w:rFonts w:ascii="Tahoma" w:eastAsia="Times New Roman" w:hAnsi="Tahoma" w:cs="Tahoma"/>
          <w:sz w:val="24"/>
          <w:szCs w:val="24"/>
        </w:rPr>
        <w:t>118</w:t>
      </w:r>
      <w:r w:rsidR="007005BC" w:rsidRPr="00DA474D">
        <w:rPr>
          <w:rFonts w:ascii="Tahoma" w:eastAsia="Times New Roman" w:hAnsi="Tahoma" w:cs="Tahoma"/>
          <w:sz w:val="24"/>
          <w:szCs w:val="24"/>
        </w:rPr>
        <w:t>,</w:t>
      </w:r>
      <w:r w:rsidR="00DA474D" w:rsidRPr="00DA474D">
        <w:rPr>
          <w:rFonts w:ascii="Tahoma" w:eastAsia="Times New Roman" w:hAnsi="Tahoma" w:cs="Tahoma"/>
          <w:sz w:val="24"/>
          <w:szCs w:val="24"/>
        </w:rPr>
        <w:t>1</w:t>
      </w:r>
      <w:r w:rsidRPr="00DA474D">
        <w:rPr>
          <w:rFonts w:ascii="Tahoma" w:eastAsia="Times New Roman" w:hAnsi="Tahoma" w:cs="Tahoma"/>
          <w:sz w:val="24"/>
          <w:szCs w:val="24"/>
        </w:rPr>
        <w:t xml:space="preserve"> млрд </w:t>
      </w:r>
      <w:r w:rsidRPr="00BC17CF">
        <w:rPr>
          <w:rFonts w:ascii="Tahoma" w:eastAsia="Times New Roman" w:hAnsi="Tahoma" w:cs="Tahoma"/>
          <w:sz w:val="24"/>
          <w:szCs w:val="24"/>
        </w:rPr>
        <w:t>рублей. Рост выручки от продажи электроэнергии достигнут за сч</w:t>
      </w:r>
      <w:r w:rsidR="00D40AFE">
        <w:rPr>
          <w:rFonts w:ascii="Tahoma" w:eastAsia="Times New Roman" w:hAnsi="Tahoma" w:cs="Tahoma"/>
          <w:sz w:val="24"/>
          <w:szCs w:val="24"/>
        </w:rPr>
        <w:t>ё</w:t>
      </w:r>
      <w:r w:rsidRPr="00BC17CF">
        <w:rPr>
          <w:rFonts w:ascii="Tahoma" w:eastAsia="Times New Roman" w:hAnsi="Tahoma" w:cs="Tahoma"/>
          <w:sz w:val="24"/>
          <w:szCs w:val="24"/>
        </w:rPr>
        <w:t>т увеличения выработки на фоне роста</w:t>
      </w:r>
      <w:r w:rsidRPr="00DA474D">
        <w:rPr>
          <w:rFonts w:ascii="Tahoma" w:eastAsia="Times New Roman" w:hAnsi="Tahoma" w:cs="Tahoma"/>
          <w:sz w:val="24"/>
          <w:szCs w:val="24"/>
        </w:rPr>
        <w:t xml:space="preserve"> цен на РСВ в первой и второй ценовой зонах. При этом окончание сроков действия ДПМ по Уренгойской ГРЭС, Южноуральской ГРЭС, </w:t>
      </w:r>
      <w:proofErr w:type="spellStart"/>
      <w:r w:rsidRPr="00DA474D">
        <w:rPr>
          <w:rFonts w:ascii="Tahoma" w:eastAsia="Times New Roman" w:hAnsi="Tahoma" w:cs="Tahoma"/>
          <w:sz w:val="24"/>
          <w:szCs w:val="24"/>
        </w:rPr>
        <w:t>Черепетской</w:t>
      </w:r>
      <w:proofErr w:type="spellEnd"/>
      <w:r w:rsidRPr="00DA474D">
        <w:rPr>
          <w:rFonts w:ascii="Tahoma" w:eastAsia="Times New Roman" w:hAnsi="Tahoma" w:cs="Tahoma"/>
          <w:sz w:val="24"/>
          <w:szCs w:val="24"/>
        </w:rPr>
        <w:t xml:space="preserve"> ГРЭС привело к снижению выручки от продажи мощности. </w:t>
      </w:r>
    </w:p>
    <w:p w:rsidR="00B7025A" w:rsidRPr="00323F47" w:rsidRDefault="00B7025A" w:rsidP="00B7025A">
      <w:pPr>
        <w:spacing w:before="100" w:beforeAutospacing="1" w:after="375" w:line="375" w:lineRule="atLeast"/>
        <w:jc w:val="both"/>
        <w:rPr>
          <w:rFonts w:ascii="Tahoma" w:eastAsia="Times New Roman" w:hAnsi="Tahoma" w:cs="Tahoma"/>
          <w:sz w:val="24"/>
          <w:szCs w:val="24"/>
        </w:rPr>
      </w:pPr>
      <w:r w:rsidRPr="00295BF6">
        <w:rPr>
          <w:rFonts w:ascii="Tahoma" w:eastAsia="Times New Roman" w:hAnsi="Tahoma" w:cs="Tahoma"/>
          <w:b/>
          <w:sz w:val="24"/>
          <w:szCs w:val="24"/>
        </w:rPr>
        <w:t xml:space="preserve">В сегменте </w:t>
      </w:r>
      <w:r w:rsidRPr="00295BF6">
        <w:rPr>
          <w:rFonts w:ascii="Tahoma" w:eastAsia="Times New Roman" w:hAnsi="Tahoma" w:cs="Tahoma"/>
          <w:b/>
          <w:i/>
          <w:sz w:val="24"/>
          <w:szCs w:val="24"/>
        </w:rPr>
        <w:t>«</w:t>
      </w:r>
      <w:proofErr w:type="spellStart"/>
      <w:r w:rsidRPr="00295BF6">
        <w:rPr>
          <w:rFonts w:ascii="Tahoma" w:eastAsia="Times New Roman" w:hAnsi="Tahoma" w:cs="Tahoma"/>
          <w:b/>
          <w:i/>
          <w:sz w:val="24"/>
          <w:szCs w:val="24"/>
        </w:rPr>
        <w:t>Теплогенерация</w:t>
      </w:r>
      <w:proofErr w:type="spellEnd"/>
      <w:r w:rsidRPr="00295BF6">
        <w:rPr>
          <w:rFonts w:ascii="Tahoma" w:eastAsia="Times New Roman" w:hAnsi="Tahoma" w:cs="Tahoma"/>
          <w:b/>
          <w:i/>
          <w:sz w:val="24"/>
          <w:szCs w:val="24"/>
        </w:rPr>
        <w:t xml:space="preserve"> в Российской Федерации»</w:t>
      </w:r>
      <w:r w:rsidRPr="00295BF6">
        <w:rPr>
          <w:rFonts w:ascii="Tahoma" w:eastAsia="Times New Roman" w:hAnsi="Tahoma" w:cs="Tahoma"/>
          <w:sz w:val="24"/>
          <w:szCs w:val="24"/>
        </w:rPr>
        <w:t xml:space="preserve"> выручка возросла на </w:t>
      </w:r>
      <w:r w:rsidR="00295BF6" w:rsidRPr="00295BF6">
        <w:rPr>
          <w:rFonts w:ascii="Tahoma" w:eastAsia="Times New Roman" w:hAnsi="Tahoma" w:cs="Tahoma"/>
          <w:sz w:val="24"/>
          <w:szCs w:val="24"/>
        </w:rPr>
        <w:t>6</w:t>
      </w:r>
      <w:r w:rsidR="00C9016D" w:rsidRPr="00295BF6">
        <w:rPr>
          <w:rFonts w:ascii="Tahoma" w:eastAsia="Times New Roman" w:hAnsi="Tahoma" w:cs="Tahoma"/>
          <w:sz w:val="24"/>
          <w:szCs w:val="24"/>
        </w:rPr>
        <w:t>,</w:t>
      </w:r>
      <w:r w:rsidR="00295BF6" w:rsidRPr="00295BF6">
        <w:rPr>
          <w:rFonts w:ascii="Tahoma" w:eastAsia="Times New Roman" w:hAnsi="Tahoma" w:cs="Tahoma"/>
          <w:sz w:val="24"/>
          <w:szCs w:val="24"/>
        </w:rPr>
        <w:t>5</w:t>
      </w:r>
      <w:r w:rsidRPr="00295BF6">
        <w:rPr>
          <w:rFonts w:ascii="Tahoma" w:eastAsia="Times New Roman" w:hAnsi="Tahoma" w:cs="Tahoma"/>
          <w:sz w:val="24"/>
          <w:szCs w:val="24"/>
        </w:rPr>
        <w:t xml:space="preserve"> млрд рублей (</w:t>
      </w:r>
      <w:r w:rsidR="00295BF6" w:rsidRPr="00295BF6">
        <w:rPr>
          <w:rFonts w:ascii="Tahoma" w:eastAsia="Times New Roman" w:hAnsi="Tahoma" w:cs="Tahoma"/>
          <w:sz w:val="24"/>
          <w:szCs w:val="24"/>
        </w:rPr>
        <w:t>10</w:t>
      </w:r>
      <w:r w:rsidRPr="00295BF6">
        <w:rPr>
          <w:rFonts w:ascii="Tahoma" w:eastAsia="Times New Roman" w:hAnsi="Tahoma" w:cs="Tahoma"/>
          <w:sz w:val="24"/>
          <w:szCs w:val="24"/>
        </w:rPr>
        <w:t>,</w:t>
      </w:r>
      <w:r w:rsidR="00295BF6" w:rsidRPr="00295BF6">
        <w:rPr>
          <w:rFonts w:ascii="Tahoma" w:eastAsia="Times New Roman" w:hAnsi="Tahoma" w:cs="Tahoma"/>
          <w:sz w:val="24"/>
          <w:szCs w:val="24"/>
        </w:rPr>
        <w:t>7</w:t>
      </w:r>
      <w:r w:rsidRPr="00295BF6">
        <w:rPr>
          <w:rFonts w:ascii="Tahoma" w:eastAsia="Times New Roman" w:hAnsi="Tahoma" w:cs="Tahoma"/>
          <w:sz w:val="24"/>
          <w:szCs w:val="24"/>
        </w:rPr>
        <w:t xml:space="preserve">%) и составила </w:t>
      </w:r>
      <w:r w:rsidR="00295BF6" w:rsidRPr="00295BF6">
        <w:rPr>
          <w:rFonts w:ascii="Tahoma" w:eastAsia="Times New Roman" w:hAnsi="Tahoma" w:cs="Tahoma"/>
          <w:sz w:val="24"/>
          <w:szCs w:val="24"/>
        </w:rPr>
        <w:t>66</w:t>
      </w:r>
      <w:r w:rsidR="00C9016D" w:rsidRPr="00295BF6">
        <w:rPr>
          <w:rFonts w:ascii="Tahoma" w:eastAsia="Times New Roman" w:hAnsi="Tahoma" w:cs="Tahoma"/>
          <w:sz w:val="24"/>
          <w:szCs w:val="24"/>
        </w:rPr>
        <w:t>,</w:t>
      </w:r>
      <w:r w:rsidR="00295BF6" w:rsidRPr="00295BF6">
        <w:rPr>
          <w:rFonts w:ascii="Tahoma" w:eastAsia="Times New Roman" w:hAnsi="Tahoma" w:cs="Tahoma"/>
          <w:sz w:val="24"/>
          <w:szCs w:val="24"/>
        </w:rPr>
        <w:t>9</w:t>
      </w:r>
      <w:r w:rsidRPr="00295BF6">
        <w:rPr>
          <w:rFonts w:ascii="Tahoma" w:eastAsia="Times New Roman" w:hAnsi="Tahoma" w:cs="Tahoma"/>
          <w:sz w:val="24"/>
          <w:szCs w:val="24"/>
        </w:rPr>
        <w:t xml:space="preserve"> млрд рублей. Роста </w:t>
      </w:r>
      <w:r w:rsidR="00B55C6E" w:rsidRPr="00295BF6">
        <w:rPr>
          <w:rFonts w:ascii="Tahoma" w:eastAsia="Times New Roman" w:hAnsi="Tahoma" w:cs="Tahoma"/>
          <w:sz w:val="24"/>
          <w:szCs w:val="24"/>
        </w:rPr>
        <w:t>показател</w:t>
      </w:r>
      <w:r w:rsidR="00B55C6E">
        <w:rPr>
          <w:rFonts w:ascii="Tahoma" w:eastAsia="Times New Roman" w:hAnsi="Tahoma" w:cs="Tahoma"/>
          <w:sz w:val="24"/>
          <w:szCs w:val="24"/>
        </w:rPr>
        <w:t>я</w:t>
      </w:r>
      <w:r w:rsidR="00B55C6E" w:rsidRPr="00295BF6">
        <w:rPr>
          <w:rFonts w:ascii="Tahoma" w:eastAsia="Times New Roman" w:hAnsi="Tahoma" w:cs="Tahoma"/>
          <w:sz w:val="24"/>
          <w:szCs w:val="24"/>
        </w:rPr>
        <w:t xml:space="preserve"> </w:t>
      </w:r>
      <w:r w:rsidR="00D40AFE">
        <w:rPr>
          <w:rFonts w:ascii="Tahoma" w:eastAsia="Times New Roman" w:hAnsi="Tahoma" w:cs="Tahoma"/>
          <w:sz w:val="24"/>
          <w:szCs w:val="24"/>
        </w:rPr>
        <w:t>вызван</w:t>
      </w:r>
      <w:r w:rsidRPr="00295BF6">
        <w:rPr>
          <w:rFonts w:ascii="Tahoma" w:eastAsia="Times New Roman" w:hAnsi="Tahoma" w:cs="Tahoma"/>
          <w:sz w:val="24"/>
          <w:szCs w:val="24"/>
        </w:rPr>
        <w:t xml:space="preserve"> индексаци</w:t>
      </w:r>
      <w:r w:rsidR="00D40AFE">
        <w:rPr>
          <w:rFonts w:ascii="Tahoma" w:eastAsia="Times New Roman" w:hAnsi="Tahoma" w:cs="Tahoma"/>
          <w:sz w:val="24"/>
          <w:szCs w:val="24"/>
        </w:rPr>
        <w:t>ей</w:t>
      </w:r>
      <w:r w:rsidRPr="00295BF6">
        <w:rPr>
          <w:rFonts w:ascii="Tahoma" w:eastAsia="Times New Roman" w:hAnsi="Tahoma" w:cs="Tahoma"/>
          <w:sz w:val="24"/>
          <w:szCs w:val="24"/>
        </w:rPr>
        <w:t xml:space="preserve"> тарифов на тепловую энергию и </w:t>
      </w:r>
      <w:r w:rsidR="00D40AFE">
        <w:rPr>
          <w:rFonts w:ascii="Tahoma" w:eastAsia="Times New Roman" w:hAnsi="Tahoma" w:cs="Tahoma"/>
          <w:sz w:val="24"/>
          <w:szCs w:val="24"/>
        </w:rPr>
        <w:t xml:space="preserve">увеличением </w:t>
      </w:r>
      <w:r w:rsidRPr="00295BF6">
        <w:rPr>
          <w:rFonts w:ascii="Tahoma" w:eastAsia="Times New Roman" w:hAnsi="Tahoma" w:cs="Tahoma"/>
          <w:sz w:val="24"/>
          <w:szCs w:val="24"/>
        </w:rPr>
        <w:t>цен</w:t>
      </w:r>
      <w:r w:rsidR="00D40AFE">
        <w:rPr>
          <w:rFonts w:ascii="Tahoma" w:eastAsia="Times New Roman" w:hAnsi="Tahoma" w:cs="Tahoma"/>
          <w:sz w:val="24"/>
          <w:szCs w:val="24"/>
        </w:rPr>
        <w:t>ы</w:t>
      </w:r>
      <w:r w:rsidRPr="00295BF6">
        <w:rPr>
          <w:rFonts w:ascii="Tahoma" w:eastAsia="Times New Roman" w:hAnsi="Tahoma" w:cs="Tahoma"/>
          <w:sz w:val="24"/>
          <w:szCs w:val="24"/>
        </w:rPr>
        <w:t xml:space="preserve"> </w:t>
      </w:r>
      <w:r w:rsidRPr="00323F47">
        <w:rPr>
          <w:rFonts w:ascii="Tahoma" w:eastAsia="Times New Roman" w:hAnsi="Tahoma" w:cs="Tahoma"/>
          <w:sz w:val="24"/>
          <w:szCs w:val="24"/>
        </w:rPr>
        <w:t>электроэнерги</w:t>
      </w:r>
      <w:r w:rsidR="00D40AFE">
        <w:rPr>
          <w:rFonts w:ascii="Tahoma" w:eastAsia="Times New Roman" w:hAnsi="Tahoma" w:cs="Tahoma"/>
          <w:sz w:val="24"/>
          <w:szCs w:val="24"/>
        </w:rPr>
        <w:t>и</w:t>
      </w:r>
      <w:r w:rsidRPr="00323F47">
        <w:rPr>
          <w:rFonts w:ascii="Tahoma" w:eastAsia="Times New Roman" w:hAnsi="Tahoma" w:cs="Tahoma"/>
          <w:sz w:val="24"/>
          <w:szCs w:val="24"/>
        </w:rPr>
        <w:t xml:space="preserve"> на РСВ. </w:t>
      </w:r>
    </w:p>
    <w:p w:rsidR="00B7025A" w:rsidRPr="00323F47" w:rsidRDefault="00B7025A" w:rsidP="00B7025A">
      <w:pPr>
        <w:spacing w:before="100" w:beforeAutospacing="1" w:after="375" w:line="375" w:lineRule="atLeast"/>
        <w:jc w:val="both"/>
        <w:rPr>
          <w:rFonts w:ascii="Tahoma" w:eastAsia="Times New Roman" w:hAnsi="Tahoma" w:cs="Tahoma"/>
          <w:sz w:val="24"/>
          <w:szCs w:val="24"/>
        </w:rPr>
      </w:pPr>
      <w:r w:rsidRPr="00323F47">
        <w:rPr>
          <w:rFonts w:ascii="Tahoma" w:eastAsia="Times New Roman" w:hAnsi="Tahoma" w:cs="Tahoma"/>
          <w:b/>
          <w:i/>
          <w:sz w:val="24"/>
          <w:szCs w:val="24"/>
        </w:rPr>
        <w:t>Сегмент «Инжиниринг»</w:t>
      </w:r>
      <w:r w:rsidRPr="00323F47">
        <w:rPr>
          <w:rFonts w:ascii="Tahoma" w:eastAsia="Times New Roman" w:hAnsi="Tahoma" w:cs="Tahoma"/>
          <w:sz w:val="24"/>
          <w:szCs w:val="24"/>
        </w:rPr>
        <w:t xml:space="preserve"> продемонстрировал рост выручки на </w:t>
      </w:r>
      <w:r w:rsidR="00323F47" w:rsidRPr="00323F47">
        <w:rPr>
          <w:rFonts w:ascii="Tahoma" w:eastAsia="Times New Roman" w:hAnsi="Tahoma" w:cs="Tahoma"/>
          <w:sz w:val="24"/>
          <w:szCs w:val="24"/>
        </w:rPr>
        <w:t>14</w:t>
      </w:r>
      <w:r w:rsidR="00E86CCB" w:rsidRPr="00323F47">
        <w:rPr>
          <w:rFonts w:ascii="Tahoma" w:eastAsia="Times New Roman" w:hAnsi="Tahoma" w:cs="Tahoma"/>
          <w:sz w:val="24"/>
          <w:szCs w:val="24"/>
        </w:rPr>
        <w:t>,</w:t>
      </w:r>
      <w:r w:rsidR="00323F47" w:rsidRPr="00323F47">
        <w:rPr>
          <w:rFonts w:ascii="Tahoma" w:eastAsia="Times New Roman" w:hAnsi="Tahoma" w:cs="Tahoma"/>
          <w:sz w:val="24"/>
          <w:szCs w:val="24"/>
        </w:rPr>
        <w:t>2</w:t>
      </w:r>
      <w:r w:rsidRPr="00323F47">
        <w:rPr>
          <w:rFonts w:ascii="Tahoma" w:eastAsia="Times New Roman" w:hAnsi="Tahoma" w:cs="Tahoma"/>
          <w:sz w:val="24"/>
          <w:szCs w:val="24"/>
        </w:rPr>
        <w:t xml:space="preserve"> млрд рублей (на </w:t>
      </w:r>
      <w:r w:rsidR="00323F47" w:rsidRPr="00323F47">
        <w:rPr>
          <w:rFonts w:ascii="Tahoma" w:eastAsia="Times New Roman" w:hAnsi="Tahoma" w:cs="Tahoma"/>
          <w:sz w:val="24"/>
          <w:szCs w:val="24"/>
        </w:rPr>
        <w:t>60</w:t>
      </w:r>
      <w:r w:rsidR="00E86CCB" w:rsidRPr="00323F47">
        <w:rPr>
          <w:rFonts w:ascii="Tahoma" w:eastAsia="Times New Roman" w:hAnsi="Tahoma" w:cs="Tahoma"/>
          <w:sz w:val="24"/>
          <w:szCs w:val="24"/>
        </w:rPr>
        <w:t>,</w:t>
      </w:r>
      <w:r w:rsidR="00323F47" w:rsidRPr="00323F47">
        <w:rPr>
          <w:rFonts w:ascii="Tahoma" w:eastAsia="Times New Roman" w:hAnsi="Tahoma" w:cs="Tahoma"/>
          <w:sz w:val="24"/>
          <w:szCs w:val="24"/>
        </w:rPr>
        <w:t>0</w:t>
      </w:r>
      <w:r w:rsidRPr="00323F47">
        <w:rPr>
          <w:rFonts w:ascii="Tahoma" w:eastAsia="Times New Roman" w:hAnsi="Tahoma" w:cs="Tahoma"/>
          <w:sz w:val="24"/>
          <w:szCs w:val="24"/>
        </w:rPr>
        <w:t xml:space="preserve">%) по сравнению с результатом за </w:t>
      </w:r>
      <w:r w:rsidR="00323F47" w:rsidRPr="00323F47">
        <w:rPr>
          <w:rFonts w:ascii="Tahoma" w:eastAsia="Times New Roman" w:hAnsi="Tahoma" w:cs="Tahoma"/>
          <w:sz w:val="24"/>
          <w:szCs w:val="24"/>
        </w:rPr>
        <w:t>9 месяцев</w:t>
      </w:r>
      <w:r w:rsidRPr="00323F47">
        <w:rPr>
          <w:rFonts w:ascii="Tahoma" w:eastAsia="Times New Roman" w:hAnsi="Tahoma" w:cs="Tahoma"/>
          <w:sz w:val="24"/>
          <w:szCs w:val="24"/>
        </w:rPr>
        <w:t xml:space="preserve"> 2022 года</w:t>
      </w:r>
      <w:r w:rsidR="00323F47" w:rsidRPr="00323F47">
        <w:rPr>
          <w:rFonts w:ascii="Tahoma" w:eastAsia="Times New Roman" w:hAnsi="Tahoma" w:cs="Tahoma"/>
          <w:sz w:val="24"/>
          <w:szCs w:val="24"/>
        </w:rPr>
        <w:t>, до</w:t>
      </w:r>
      <w:r w:rsidR="003C35DD" w:rsidRPr="00323F47">
        <w:rPr>
          <w:rFonts w:ascii="Tahoma" w:eastAsia="Times New Roman" w:hAnsi="Tahoma" w:cs="Tahoma"/>
          <w:sz w:val="24"/>
          <w:szCs w:val="24"/>
        </w:rPr>
        <w:t xml:space="preserve"> </w:t>
      </w:r>
      <w:r w:rsidR="00323F47" w:rsidRPr="00323F47">
        <w:rPr>
          <w:rFonts w:ascii="Tahoma" w:eastAsia="Times New Roman" w:hAnsi="Tahoma" w:cs="Tahoma"/>
          <w:sz w:val="24"/>
          <w:szCs w:val="24"/>
        </w:rPr>
        <w:t>37</w:t>
      </w:r>
      <w:r w:rsidR="00E86CCB" w:rsidRPr="00323F47">
        <w:rPr>
          <w:rFonts w:ascii="Tahoma" w:eastAsia="Times New Roman" w:hAnsi="Tahoma" w:cs="Tahoma"/>
          <w:sz w:val="24"/>
          <w:szCs w:val="24"/>
        </w:rPr>
        <w:t>,</w:t>
      </w:r>
      <w:r w:rsidR="00323F47" w:rsidRPr="00323F47">
        <w:rPr>
          <w:rFonts w:ascii="Tahoma" w:eastAsia="Times New Roman" w:hAnsi="Tahoma" w:cs="Tahoma"/>
          <w:sz w:val="24"/>
          <w:szCs w:val="24"/>
        </w:rPr>
        <w:t>9</w:t>
      </w:r>
      <w:r w:rsidR="003C35DD" w:rsidRPr="00323F47">
        <w:rPr>
          <w:rFonts w:ascii="Tahoma" w:eastAsia="Times New Roman" w:hAnsi="Tahoma" w:cs="Tahoma"/>
          <w:sz w:val="24"/>
          <w:szCs w:val="24"/>
        </w:rPr>
        <w:t xml:space="preserve"> млрд рублей</w:t>
      </w:r>
      <w:r w:rsidRPr="00323F47">
        <w:rPr>
          <w:rFonts w:ascii="Tahoma" w:eastAsia="Times New Roman" w:hAnsi="Tahoma" w:cs="Tahoma"/>
          <w:sz w:val="24"/>
          <w:szCs w:val="24"/>
        </w:rPr>
        <w:t xml:space="preserve">. Группа наращивает показатели в рамках осуществления </w:t>
      </w:r>
      <w:r w:rsidR="00D40AFE">
        <w:rPr>
          <w:rFonts w:ascii="Tahoma" w:eastAsia="Times New Roman" w:hAnsi="Tahoma" w:cs="Tahoma"/>
          <w:sz w:val="24"/>
          <w:szCs w:val="24"/>
        </w:rPr>
        <w:t>крупных</w:t>
      </w:r>
      <w:r w:rsidRPr="00323F47">
        <w:rPr>
          <w:rFonts w:ascii="Tahoma" w:eastAsia="Times New Roman" w:hAnsi="Tahoma" w:cs="Tahoma"/>
          <w:sz w:val="24"/>
          <w:szCs w:val="24"/>
        </w:rPr>
        <w:t xml:space="preserve"> проектов для электросетевого комплекса Российской Федерации.</w:t>
      </w:r>
    </w:p>
    <w:p w:rsidR="00B7025A" w:rsidRPr="006745B3" w:rsidRDefault="00B7025A" w:rsidP="00B7025A">
      <w:pPr>
        <w:spacing w:before="100" w:beforeAutospacing="1" w:after="375" w:line="375" w:lineRule="atLeast"/>
        <w:jc w:val="both"/>
        <w:rPr>
          <w:rFonts w:ascii="Tahoma" w:eastAsia="Times New Roman" w:hAnsi="Tahoma" w:cs="Tahoma"/>
          <w:sz w:val="24"/>
          <w:szCs w:val="24"/>
        </w:rPr>
      </w:pPr>
      <w:r w:rsidRPr="006745B3">
        <w:rPr>
          <w:rFonts w:ascii="Tahoma" w:eastAsia="Times New Roman" w:hAnsi="Tahoma" w:cs="Tahoma"/>
          <w:sz w:val="24"/>
          <w:szCs w:val="24"/>
        </w:rPr>
        <w:t xml:space="preserve">Выручка </w:t>
      </w:r>
      <w:r w:rsidRPr="006745B3">
        <w:rPr>
          <w:rFonts w:ascii="Tahoma" w:eastAsia="Times New Roman" w:hAnsi="Tahoma" w:cs="Tahoma"/>
          <w:b/>
          <w:i/>
          <w:sz w:val="24"/>
          <w:szCs w:val="24"/>
        </w:rPr>
        <w:t>сегмента «Энергомашиностроение»</w:t>
      </w:r>
      <w:r w:rsidRPr="006745B3">
        <w:rPr>
          <w:rFonts w:ascii="Tahoma" w:eastAsia="Times New Roman" w:hAnsi="Tahoma" w:cs="Tahoma"/>
          <w:sz w:val="24"/>
          <w:szCs w:val="24"/>
        </w:rPr>
        <w:t xml:space="preserve"> за отч</w:t>
      </w:r>
      <w:r w:rsidR="00D40AFE">
        <w:rPr>
          <w:rFonts w:ascii="Tahoma" w:eastAsia="Times New Roman" w:hAnsi="Tahoma" w:cs="Tahoma"/>
          <w:sz w:val="24"/>
          <w:szCs w:val="24"/>
        </w:rPr>
        <w:t>ё</w:t>
      </w:r>
      <w:r w:rsidRPr="006745B3">
        <w:rPr>
          <w:rFonts w:ascii="Tahoma" w:eastAsia="Times New Roman" w:hAnsi="Tahoma" w:cs="Tahoma"/>
          <w:sz w:val="24"/>
          <w:szCs w:val="24"/>
        </w:rPr>
        <w:t xml:space="preserve">тный период составила </w:t>
      </w:r>
      <w:r w:rsidR="006745B3" w:rsidRPr="006745B3">
        <w:rPr>
          <w:rFonts w:ascii="Tahoma" w:eastAsia="Times New Roman" w:hAnsi="Tahoma" w:cs="Tahoma"/>
          <w:sz w:val="24"/>
          <w:szCs w:val="24"/>
        </w:rPr>
        <w:t>7</w:t>
      </w:r>
      <w:r w:rsidRPr="006745B3">
        <w:rPr>
          <w:rFonts w:ascii="Tahoma" w:eastAsia="Times New Roman" w:hAnsi="Tahoma" w:cs="Tahoma"/>
          <w:sz w:val="24"/>
          <w:szCs w:val="24"/>
        </w:rPr>
        <w:t>,</w:t>
      </w:r>
      <w:r w:rsidR="006745B3" w:rsidRPr="006745B3">
        <w:rPr>
          <w:rFonts w:ascii="Tahoma" w:eastAsia="Times New Roman" w:hAnsi="Tahoma" w:cs="Tahoma"/>
          <w:sz w:val="24"/>
          <w:szCs w:val="24"/>
        </w:rPr>
        <w:t>4</w:t>
      </w:r>
      <w:r w:rsidRPr="006745B3">
        <w:rPr>
          <w:rFonts w:ascii="Tahoma" w:eastAsia="Times New Roman" w:hAnsi="Tahoma" w:cs="Tahoma"/>
          <w:sz w:val="24"/>
          <w:szCs w:val="24"/>
        </w:rPr>
        <w:t xml:space="preserve"> млрд рублей (рост на </w:t>
      </w:r>
      <w:r w:rsidR="006745B3" w:rsidRPr="006745B3">
        <w:rPr>
          <w:rFonts w:ascii="Tahoma" w:eastAsia="Times New Roman" w:hAnsi="Tahoma" w:cs="Tahoma"/>
          <w:sz w:val="24"/>
          <w:szCs w:val="24"/>
        </w:rPr>
        <w:t>7</w:t>
      </w:r>
      <w:r w:rsidRPr="006745B3">
        <w:rPr>
          <w:rFonts w:ascii="Tahoma" w:eastAsia="Times New Roman" w:hAnsi="Tahoma" w:cs="Tahoma"/>
          <w:sz w:val="24"/>
          <w:szCs w:val="24"/>
        </w:rPr>
        <w:t>,</w:t>
      </w:r>
      <w:r w:rsidR="006745B3" w:rsidRPr="006745B3">
        <w:rPr>
          <w:rFonts w:ascii="Tahoma" w:eastAsia="Times New Roman" w:hAnsi="Tahoma" w:cs="Tahoma"/>
          <w:sz w:val="24"/>
          <w:szCs w:val="24"/>
        </w:rPr>
        <w:t>2</w:t>
      </w:r>
      <w:r w:rsidRPr="006745B3">
        <w:rPr>
          <w:rFonts w:ascii="Tahoma" w:eastAsia="Times New Roman" w:hAnsi="Tahoma" w:cs="Tahoma"/>
          <w:sz w:val="24"/>
          <w:szCs w:val="24"/>
        </w:rPr>
        <w:t xml:space="preserve"> млрд рублей) и представлена результатами деятельности компаний, приобретенных в октябре 2022 года</w:t>
      </w:r>
      <w:r w:rsidR="006745B3" w:rsidRPr="006745B3">
        <w:rPr>
          <w:rFonts w:ascii="Tahoma" w:eastAsia="Times New Roman" w:hAnsi="Tahoma" w:cs="Tahoma"/>
          <w:sz w:val="24"/>
          <w:szCs w:val="24"/>
        </w:rPr>
        <w:t xml:space="preserve"> и июле 2023 года</w:t>
      </w:r>
      <w:r w:rsidRPr="006745B3">
        <w:rPr>
          <w:rFonts w:ascii="Tahoma" w:eastAsia="Times New Roman" w:hAnsi="Tahoma" w:cs="Tahoma"/>
          <w:sz w:val="24"/>
          <w:szCs w:val="24"/>
        </w:rPr>
        <w:t>.</w:t>
      </w:r>
    </w:p>
    <w:p w:rsidR="00E027DA" w:rsidRPr="007817C3" w:rsidRDefault="00C52C4E">
      <w:pPr>
        <w:spacing w:after="60" w:line="375" w:lineRule="atLeast"/>
        <w:jc w:val="both"/>
        <w:rPr>
          <w:rFonts w:ascii="Tahoma" w:eastAsia="Times New Roman" w:hAnsi="Tahoma" w:cs="Tahoma"/>
          <w:sz w:val="24"/>
          <w:szCs w:val="24"/>
        </w:rPr>
      </w:pPr>
      <w:r w:rsidRPr="00B07A17">
        <w:rPr>
          <w:rFonts w:ascii="Tahoma" w:eastAsia="Times New Roman" w:hAnsi="Tahoma" w:cs="Tahoma"/>
          <w:sz w:val="24"/>
          <w:szCs w:val="24"/>
        </w:rPr>
        <w:lastRenderedPageBreak/>
        <w:t xml:space="preserve">Выручка </w:t>
      </w:r>
      <w:r w:rsidRPr="00B07A17">
        <w:rPr>
          <w:rFonts w:ascii="Tahoma" w:eastAsia="Times New Roman" w:hAnsi="Tahoma" w:cs="Tahoma"/>
          <w:b/>
          <w:i/>
          <w:sz w:val="24"/>
          <w:szCs w:val="24"/>
        </w:rPr>
        <w:t>сегмента «Трейдинг»</w:t>
      </w:r>
      <w:r w:rsidR="00F965B4" w:rsidRPr="00B07A17">
        <w:rPr>
          <w:rFonts w:ascii="Tahoma" w:eastAsia="Times New Roman" w:hAnsi="Tahoma" w:cs="Tahoma"/>
          <w:sz w:val="24"/>
          <w:szCs w:val="24"/>
        </w:rPr>
        <w:t xml:space="preserve"> </w:t>
      </w:r>
      <w:r w:rsidRPr="00B07A17">
        <w:rPr>
          <w:rFonts w:ascii="Tahoma" w:eastAsia="Times New Roman" w:hAnsi="Tahoma" w:cs="Tahoma"/>
          <w:sz w:val="24"/>
          <w:szCs w:val="24"/>
        </w:rPr>
        <w:t xml:space="preserve">составила по итогам </w:t>
      </w:r>
      <w:r w:rsidR="00B07A17" w:rsidRPr="00B07A17">
        <w:rPr>
          <w:rFonts w:ascii="Tahoma" w:eastAsia="Times New Roman" w:hAnsi="Tahoma" w:cs="Tahoma"/>
          <w:sz w:val="24"/>
          <w:szCs w:val="24"/>
        </w:rPr>
        <w:t>9 месяцев</w:t>
      </w:r>
      <w:r w:rsidR="00602B5B" w:rsidRPr="00B07A17">
        <w:rPr>
          <w:rFonts w:ascii="Tahoma" w:eastAsia="Times New Roman" w:hAnsi="Tahoma" w:cs="Tahoma"/>
          <w:sz w:val="24"/>
          <w:szCs w:val="24"/>
        </w:rPr>
        <w:t xml:space="preserve"> </w:t>
      </w:r>
      <w:r w:rsidRPr="00B07A17">
        <w:rPr>
          <w:rFonts w:ascii="Tahoma" w:eastAsia="Times New Roman" w:hAnsi="Tahoma" w:cs="Tahoma"/>
          <w:sz w:val="24"/>
          <w:szCs w:val="24"/>
        </w:rPr>
        <w:t xml:space="preserve">2023 года </w:t>
      </w:r>
      <w:r w:rsidR="00B07A17" w:rsidRPr="00B07A17">
        <w:rPr>
          <w:rFonts w:ascii="Tahoma" w:eastAsia="Times New Roman" w:hAnsi="Tahoma" w:cs="Tahoma"/>
          <w:sz w:val="24"/>
          <w:szCs w:val="24"/>
        </w:rPr>
        <w:t>42</w:t>
      </w:r>
      <w:r w:rsidRPr="00B07A17">
        <w:rPr>
          <w:rFonts w:ascii="Tahoma" w:eastAsia="Times New Roman" w:hAnsi="Tahoma" w:cs="Tahoma"/>
          <w:sz w:val="24"/>
          <w:szCs w:val="24"/>
        </w:rPr>
        <w:t>,</w:t>
      </w:r>
      <w:r w:rsidR="00B07A17" w:rsidRPr="00B07A17">
        <w:rPr>
          <w:rFonts w:ascii="Tahoma" w:eastAsia="Times New Roman" w:hAnsi="Tahoma" w:cs="Tahoma"/>
          <w:sz w:val="24"/>
          <w:szCs w:val="24"/>
        </w:rPr>
        <w:t>4</w:t>
      </w:r>
      <w:r w:rsidRPr="00B07A17">
        <w:rPr>
          <w:rFonts w:ascii="Tahoma" w:eastAsia="Times New Roman" w:hAnsi="Tahoma" w:cs="Tahoma"/>
          <w:sz w:val="24"/>
          <w:szCs w:val="24"/>
        </w:rPr>
        <w:t xml:space="preserve"> млрд рублей. </w:t>
      </w:r>
      <w:r w:rsidR="001316E5" w:rsidRPr="00B07A17">
        <w:rPr>
          <w:rFonts w:ascii="Tahoma" w:eastAsia="Times New Roman" w:hAnsi="Tahoma" w:cs="Tahoma"/>
          <w:sz w:val="24"/>
          <w:szCs w:val="24"/>
        </w:rPr>
        <w:t xml:space="preserve">В </w:t>
      </w:r>
      <w:r w:rsidR="00202515">
        <w:rPr>
          <w:rFonts w:ascii="Tahoma" w:eastAsia="Times New Roman" w:hAnsi="Tahoma" w:cs="Tahoma"/>
          <w:sz w:val="24"/>
          <w:szCs w:val="24"/>
        </w:rPr>
        <w:t>январе - мае</w:t>
      </w:r>
      <w:r w:rsidR="001316E5" w:rsidRPr="00B07A17">
        <w:rPr>
          <w:rFonts w:ascii="Tahoma" w:eastAsia="Times New Roman" w:hAnsi="Tahoma" w:cs="Tahoma"/>
          <w:sz w:val="24"/>
          <w:szCs w:val="24"/>
        </w:rPr>
        <w:t xml:space="preserve"> 2022 года на фоне благоприятной конъюнктуры на бирже </w:t>
      </w:r>
      <w:r w:rsidR="001316E5" w:rsidRPr="00B07A17">
        <w:rPr>
          <w:rFonts w:ascii="Tahoma" w:eastAsia="Times New Roman" w:hAnsi="Tahoma" w:cs="Tahoma"/>
          <w:sz w:val="24"/>
          <w:szCs w:val="24"/>
          <w:lang w:val="en-US"/>
        </w:rPr>
        <w:t>Nord</w:t>
      </w:r>
      <w:r w:rsidR="001316E5" w:rsidRPr="00B07A17">
        <w:rPr>
          <w:rFonts w:ascii="Tahoma" w:eastAsia="Times New Roman" w:hAnsi="Tahoma" w:cs="Tahoma"/>
          <w:sz w:val="24"/>
          <w:szCs w:val="24"/>
        </w:rPr>
        <w:t xml:space="preserve"> </w:t>
      </w:r>
      <w:r w:rsidR="001316E5" w:rsidRPr="00B07A17">
        <w:rPr>
          <w:rFonts w:ascii="Tahoma" w:eastAsia="Times New Roman" w:hAnsi="Tahoma" w:cs="Tahoma"/>
          <w:sz w:val="24"/>
          <w:szCs w:val="24"/>
          <w:lang w:val="en-US"/>
        </w:rPr>
        <w:t>Pool</w:t>
      </w:r>
      <w:r w:rsidR="001316E5" w:rsidRPr="00B07A17">
        <w:rPr>
          <w:rFonts w:ascii="Tahoma" w:eastAsia="Times New Roman" w:hAnsi="Tahoma" w:cs="Tahoma"/>
          <w:sz w:val="24"/>
          <w:szCs w:val="24"/>
        </w:rPr>
        <w:t xml:space="preserve"> экспорт электроэнергии осуществлялся в направлении Финляндии и стран </w:t>
      </w:r>
      <w:proofErr w:type="gramStart"/>
      <w:r w:rsidR="001316E5" w:rsidRPr="00B07A17">
        <w:rPr>
          <w:rFonts w:ascii="Tahoma" w:eastAsia="Times New Roman" w:hAnsi="Tahoma" w:cs="Tahoma"/>
          <w:sz w:val="24"/>
          <w:szCs w:val="24"/>
        </w:rPr>
        <w:t>Балтии,  выручка</w:t>
      </w:r>
      <w:proofErr w:type="gramEnd"/>
      <w:r w:rsidR="001316E5" w:rsidRPr="00B07A17">
        <w:rPr>
          <w:rFonts w:ascii="Tahoma" w:eastAsia="Times New Roman" w:hAnsi="Tahoma" w:cs="Tahoma"/>
          <w:sz w:val="24"/>
          <w:szCs w:val="24"/>
        </w:rPr>
        <w:t xml:space="preserve"> составила </w:t>
      </w:r>
      <w:r w:rsidR="00B07A17" w:rsidRPr="00B07A17">
        <w:rPr>
          <w:rFonts w:ascii="Tahoma" w:eastAsia="Times New Roman" w:hAnsi="Tahoma" w:cs="Tahoma"/>
          <w:sz w:val="24"/>
          <w:szCs w:val="24"/>
        </w:rPr>
        <w:t>84</w:t>
      </w:r>
      <w:r w:rsidR="001316E5" w:rsidRPr="00B07A17">
        <w:rPr>
          <w:rFonts w:ascii="Tahoma" w:eastAsia="Times New Roman" w:hAnsi="Tahoma" w:cs="Tahoma"/>
          <w:sz w:val="24"/>
          <w:szCs w:val="24"/>
        </w:rPr>
        <w:t>,</w:t>
      </w:r>
      <w:r w:rsidR="00B07A17" w:rsidRPr="00B07A17">
        <w:rPr>
          <w:rFonts w:ascii="Tahoma" w:eastAsia="Times New Roman" w:hAnsi="Tahoma" w:cs="Tahoma"/>
          <w:sz w:val="24"/>
          <w:szCs w:val="24"/>
        </w:rPr>
        <w:t>7</w:t>
      </w:r>
      <w:r w:rsidR="001316E5" w:rsidRPr="00B07A17">
        <w:rPr>
          <w:rFonts w:ascii="Tahoma" w:eastAsia="Times New Roman" w:hAnsi="Tahoma" w:cs="Tahoma"/>
          <w:sz w:val="24"/>
          <w:szCs w:val="24"/>
        </w:rPr>
        <w:t xml:space="preserve"> млрд рублей. </w:t>
      </w:r>
      <w:r w:rsidRPr="00B07A17">
        <w:rPr>
          <w:rFonts w:ascii="Tahoma" w:eastAsia="Times New Roman" w:hAnsi="Tahoma" w:cs="Tahoma"/>
          <w:sz w:val="24"/>
          <w:szCs w:val="24"/>
        </w:rPr>
        <w:t>В отч</w:t>
      </w:r>
      <w:r w:rsidR="00C170C7">
        <w:rPr>
          <w:rFonts w:ascii="Tahoma" w:eastAsia="Times New Roman" w:hAnsi="Tahoma" w:cs="Tahoma"/>
          <w:sz w:val="24"/>
          <w:szCs w:val="24"/>
        </w:rPr>
        <w:t>ё</w:t>
      </w:r>
      <w:r w:rsidRPr="00B07A17">
        <w:rPr>
          <w:rFonts w:ascii="Tahoma" w:eastAsia="Times New Roman" w:hAnsi="Tahoma" w:cs="Tahoma"/>
          <w:sz w:val="24"/>
          <w:szCs w:val="24"/>
        </w:rPr>
        <w:t xml:space="preserve">тном периоде </w:t>
      </w:r>
      <w:r w:rsidR="001316E5" w:rsidRPr="00B07A17">
        <w:rPr>
          <w:rFonts w:ascii="Tahoma" w:eastAsia="Times New Roman" w:hAnsi="Tahoma" w:cs="Tahoma"/>
          <w:sz w:val="24"/>
          <w:szCs w:val="24"/>
        </w:rPr>
        <w:t xml:space="preserve">наблюдается переориентация </w:t>
      </w:r>
      <w:r w:rsidRPr="00B07A17">
        <w:rPr>
          <w:rFonts w:ascii="Tahoma" w:eastAsia="Times New Roman" w:hAnsi="Tahoma" w:cs="Tahoma"/>
          <w:sz w:val="24"/>
          <w:szCs w:val="24"/>
        </w:rPr>
        <w:t>экспортны</w:t>
      </w:r>
      <w:r w:rsidR="001316E5" w:rsidRPr="00B07A17">
        <w:rPr>
          <w:rFonts w:ascii="Tahoma" w:eastAsia="Times New Roman" w:hAnsi="Tahoma" w:cs="Tahoma"/>
          <w:sz w:val="24"/>
          <w:szCs w:val="24"/>
        </w:rPr>
        <w:t>х</w:t>
      </w:r>
      <w:r w:rsidRPr="00B07A17">
        <w:rPr>
          <w:rFonts w:ascii="Tahoma" w:eastAsia="Times New Roman" w:hAnsi="Tahoma" w:cs="Tahoma"/>
          <w:sz w:val="24"/>
          <w:szCs w:val="24"/>
        </w:rPr>
        <w:t xml:space="preserve"> </w:t>
      </w:r>
      <w:r w:rsidR="00B55C6E" w:rsidRPr="00B07A17">
        <w:rPr>
          <w:rFonts w:ascii="Tahoma" w:eastAsia="Times New Roman" w:hAnsi="Tahoma" w:cs="Tahoma"/>
          <w:sz w:val="24"/>
          <w:szCs w:val="24"/>
        </w:rPr>
        <w:t>постав</w:t>
      </w:r>
      <w:r w:rsidR="00B55C6E">
        <w:rPr>
          <w:rFonts w:ascii="Tahoma" w:eastAsia="Times New Roman" w:hAnsi="Tahoma" w:cs="Tahoma"/>
          <w:sz w:val="24"/>
          <w:szCs w:val="24"/>
        </w:rPr>
        <w:t>ок</w:t>
      </w:r>
      <w:r w:rsidR="00B55C6E" w:rsidRPr="00B07A17">
        <w:rPr>
          <w:rFonts w:ascii="Tahoma" w:eastAsia="Times New Roman" w:hAnsi="Tahoma" w:cs="Tahoma"/>
          <w:sz w:val="24"/>
          <w:szCs w:val="24"/>
        </w:rPr>
        <w:t xml:space="preserve"> </w:t>
      </w:r>
      <w:r w:rsidRPr="00B07A17">
        <w:rPr>
          <w:rFonts w:ascii="Tahoma" w:eastAsia="Times New Roman" w:hAnsi="Tahoma" w:cs="Tahoma"/>
          <w:sz w:val="24"/>
          <w:szCs w:val="24"/>
        </w:rPr>
        <w:t xml:space="preserve">в </w:t>
      </w:r>
      <w:r w:rsidR="0067042F" w:rsidRPr="00B07A17">
        <w:rPr>
          <w:rFonts w:ascii="Tahoma" w:eastAsia="Times New Roman" w:hAnsi="Tahoma" w:cs="Tahoma"/>
          <w:sz w:val="24"/>
          <w:szCs w:val="24"/>
        </w:rPr>
        <w:t>азиа</w:t>
      </w:r>
      <w:r w:rsidR="0067042F" w:rsidRPr="007817C3">
        <w:rPr>
          <w:rFonts w:ascii="Tahoma" w:eastAsia="Times New Roman" w:hAnsi="Tahoma" w:cs="Tahoma"/>
          <w:sz w:val="24"/>
          <w:szCs w:val="24"/>
        </w:rPr>
        <w:t>тские</w:t>
      </w:r>
      <w:r w:rsidR="001316E5" w:rsidRPr="007817C3">
        <w:rPr>
          <w:rFonts w:ascii="Tahoma" w:eastAsia="Times New Roman" w:hAnsi="Tahoma" w:cs="Tahoma"/>
          <w:sz w:val="24"/>
          <w:szCs w:val="24"/>
        </w:rPr>
        <w:t xml:space="preserve"> страны</w:t>
      </w:r>
      <w:r w:rsidRPr="007817C3">
        <w:rPr>
          <w:rFonts w:ascii="Tahoma" w:eastAsia="Times New Roman" w:hAnsi="Tahoma" w:cs="Tahoma"/>
          <w:sz w:val="24"/>
          <w:szCs w:val="24"/>
        </w:rPr>
        <w:t xml:space="preserve">. </w:t>
      </w:r>
    </w:p>
    <w:p w:rsidR="00E027DA" w:rsidRPr="007817C3" w:rsidRDefault="00C52C4E">
      <w:pPr>
        <w:spacing w:before="100" w:beforeAutospacing="1" w:after="375" w:line="375" w:lineRule="atLeast"/>
        <w:jc w:val="both"/>
        <w:rPr>
          <w:rFonts w:ascii="Tahoma" w:eastAsia="Times New Roman" w:hAnsi="Tahoma" w:cs="Tahoma"/>
          <w:b/>
          <w:bCs/>
          <w:sz w:val="24"/>
          <w:szCs w:val="24"/>
        </w:rPr>
      </w:pPr>
      <w:r w:rsidRPr="007817C3">
        <w:rPr>
          <w:rFonts w:ascii="Tahoma" w:eastAsia="Times New Roman" w:hAnsi="Tahoma" w:cs="Tahoma"/>
          <w:b/>
          <w:bCs/>
          <w:sz w:val="24"/>
          <w:szCs w:val="24"/>
        </w:rPr>
        <w:t xml:space="preserve">Операционные расходы увеличились по сравнению с сопоставимым периодом на </w:t>
      </w:r>
      <w:r w:rsidR="007817C3" w:rsidRPr="007817C3">
        <w:rPr>
          <w:rFonts w:ascii="Tahoma" w:eastAsia="Times New Roman" w:hAnsi="Tahoma" w:cs="Tahoma"/>
          <w:b/>
          <w:bCs/>
          <w:sz w:val="24"/>
          <w:szCs w:val="24"/>
        </w:rPr>
        <w:t>68</w:t>
      </w:r>
      <w:r w:rsidRPr="007817C3">
        <w:rPr>
          <w:rFonts w:ascii="Tahoma" w:eastAsia="Times New Roman" w:hAnsi="Tahoma" w:cs="Tahoma"/>
          <w:b/>
          <w:bCs/>
          <w:sz w:val="24"/>
          <w:szCs w:val="24"/>
        </w:rPr>
        <w:t>,</w:t>
      </w:r>
      <w:r w:rsidR="007817C3" w:rsidRPr="007817C3">
        <w:rPr>
          <w:rFonts w:ascii="Tahoma" w:eastAsia="Times New Roman" w:hAnsi="Tahoma" w:cs="Tahoma"/>
          <w:b/>
          <w:bCs/>
          <w:sz w:val="24"/>
          <w:szCs w:val="24"/>
        </w:rPr>
        <w:t>9</w:t>
      </w:r>
      <w:r w:rsidR="00770B55" w:rsidRPr="007817C3">
        <w:rPr>
          <w:rFonts w:ascii="Tahoma" w:eastAsia="Times New Roman" w:hAnsi="Tahoma" w:cs="Tahoma"/>
          <w:b/>
          <w:bCs/>
          <w:sz w:val="24"/>
          <w:szCs w:val="24"/>
        </w:rPr>
        <w:t xml:space="preserve"> </w:t>
      </w:r>
      <w:r w:rsidRPr="007817C3">
        <w:rPr>
          <w:rFonts w:ascii="Tahoma" w:eastAsia="Times New Roman" w:hAnsi="Tahoma" w:cs="Tahoma"/>
          <w:b/>
          <w:bCs/>
          <w:sz w:val="24"/>
          <w:szCs w:val="24"/>
        </w:rPr>
        <w:t>млрд рублей (</w:t>
      </w:r>
      <w:r w:rsidR="007817C3" w:rsidRPr="007817C3">
        <w:rPr>
          <w:rFonts w:ascii="Tahoma" w:eastAsia="Times New Roman" w:hAnsi="Tahoma" w:cs="Tahoma"/>
          <w:b/>
          <w:bCs/>
          <w:sz w:val="24"/>
          <w:szCs w:val="24"/>
        </w:rPr>
        <w:t>8</w:t>
      </w:r>
      <w:r w:rsidRPr="007817C3">
        <w:rPr>
          <w:rFonts w:ascii="Tahoma" w:eastAsia="Times New Roman" w:hAnsi="Tahoma" w:cs="Tahoma"/>
          <w:b/>
          <w:bCs/>
          <w:sz w:val="24"/>
          <w:szCs w:val="24"/>
        </w:rPr>
        <w:t>,</w:t>
      </w:r>
      <w:r w:rsidR="007817C3" w:rsidRPr="007817C3">
        <w:rPr>
          <w:rFonts w:ascii="Tahoma" w:eastAsia="Times New Roman" w:hAnsi="Tahoma" w:cs="Tahoma"/>
          <w:b/>
          <w:bCs/>
          <w:sz w:val="24"/>
          <w:szCs w:val="24"/>
        </w:rPr>
        <w:t>5</w:t>
      </w:r>
      <w:r w:rsidRPr="007817C3">
        <w:rPr>
          <w:rFonts w:ascii="Tahoma" w:eastAsia="Times New Roman" w:hAnsi="Tahoma" w:cs="Tahoma"/>
          <w:b/>
          <w:bCs/>
          <w:sz w:val="24"/>
          <w:szCs w:val="24"/>
        </w:rPr>
        <w:t xml:space="preserve">%) и составили </w:t>
      </w:r>
      <w:r w:rsidR="007817C3" w:rsidRPr="007817C3">
        <w:rPr>
          <w:rFonts w:ascii="Tahoma" w:eastAsia="Times New Roman" w:hAnsi="Tahoma" w:cs="Tahoma"/>
          <w:b/>
          <w:bCs/>
          <w:sz w:val="24"/>
          <w:szCs w:val="24"/>
        </w:rPr>
        <w:t>879</w:t>
      </w:r>
      <w:r w:rsidRPr="007817C3">
        <w:rPr>
          <w:rFonts w:ascii="Tahoma" w:eastAsia="Times New Roman" w:hAnsi="Tahoma" w:cs="Tahoma"/>
          <w:b/>
          <w:bCs/>
          <w:sz w:val="24"/>
          <w:szCs w:val="24"/>
        </w:rPr>
        <w:t>,</w:t>
      </w:r>
      <w:r w:rsidR="007817C3" w:rsidRPr="007817C3">
        <w:rPr>
          <w:rFonts w:ascii="Tahoma" w:eastAsia="Times New Roman" w:hAnsi="Tahoma" w:cs="Tahoma"/>
          <w:b/>
          <w:bCs/>
          <w:sz w:val="24"/>
          <w:szCs w:val="24"/>
        </w:rPr>
        <w:t>0</w:t>
      </w:r>
      <w:r w:rsidR="00770B55" w:rsidRPr="007817C3">
        <w:rPr>
          <w:rFonts w:ascii="Tahoma" w:eastAsia="Times New Roman" w:hAnsi="Tahoma" w:cs="Tahoma"/>
          <w:b/>
          <w:bCs/>
          <w:sz w:val="24"/>
          <w:szCs w:val="24"/>
        </w:rPr>
        <w:t xml:space="preserve"> </w:t>
      </w:r>
      <w:r w:rsidRPr="007817C3">
        <w:rPr>
          <w:rFonts w:ascii="Tahoma" w:eastAsia="Times New Roman" w:hAnsi="Tahoma" w:cs="Tahoma"/>
          <w:b/>
          <w:bCs/>
          <w:sz w:val="24"/>
          <w:szCs w:val="24"/>
        </w:rPr>
        <w:t xml:space="preserve">млрд рублей. </w:t>
      </w:r>
    </w:p>
    <w:p w:rsidR="00E027DA" w:rsidRPr="000276A8" w:rsidRDefault="00C52C4E">
      <w:pPr>
        <w:spacing w:before="40" w:after="80" w:line="375" w:lineRule="atLeast"/>
        <w:jc w:val="both"/>
        <w:rPr>
          <w:rFonts w:ascii="Arial" w:hAnsi="Arial"/>
          <w:b/>
          <w:sz w:val="18"/>
          <w:highlight w:val="yellow"/>
          <w:u w:val="single"/>
        </w:rPr>
      </w:pPr>
      <w:r w:rsidRPr="002C2C90">
        <w:rPr>
          <w:rFonts w:ascii="Tahoma" w:hAnsi="Tahoma" w:cs="Tahoma"/>
          <w:b/>
          <w:i/>
          <w:sz w:val="24"/>
          <w:szCs w:val="24"/>
        </w:rPr>
        <w:t>Расходы на услуги по передаче электроэнергии</w:t>
      </w:r>
      <w:r w:rsidRPr="002C2C90">
        <w:rPr>
          <w:rFonts w:ascii="Tahoma" w:hAnsi="Tahoma" w:cs="Tahoma"/>
          <w:sz w:val="24"/>
          <w:szCs w:val="24"/>
        </w:rPr>
        <w:t xml:space="preserve"> возросли на </w:t>
      </w:r>
      <w:r w:rsidR="002C2C90" w:rsidRPr="002C2C90">
        <w:rPr>
          <w:rFonts w:ascii="Tahoma" w:hAnsi="Tahoma" w:cs="Tahoma"/>
          <w:sz w:val="24"/>
          <w:szCs w:val="24"/>
        </w:rPr>
        <w:t>28</w:t>
      </w:r>
      <w:r w:rsidRPr="002C2C90">
        <w:rPr>
          <w:rFonts w:ascii="Tahoma" w:hAnsi="Tahoma" w:cs="Tahoma"/>
          <w:sz w:val="24"/>
          <w:szCs w:val="24"/>
        </w:rPr>
        <w:t>,</w:t>
      </w:r>
      <w:r w:rsidR="00770B55" w:rsidRPr="002C2C90">
        <w:rPr>
          <w:rFonts w:ascii="Tahoma" w:hAnsi="Tahoma" w:cs="Tahoma"/>
          <w:sz w:val="24"/>
          <w:szCs w:val="24"/>
        </w:rPr>
        <w:t xml:space="preserve">7 </w:t>
      </w:r>
      <w:r w:rsidRPr="002C2C90">
        <w:rPr>
          <w:rFonts w:ascii="Tahoma" w:hAnsi="Tahoma" w:cs="Tahoma"/>
          <w:sz w:val="24"/>
          <w:szCs w:val="24"/>
        </w:rPr>
        <w:t>млрд рублей (</w:t>
      </w:r>
      <w:r w:rsidR="00770B55" w:rsidRPr="002C2C90">
        <w:rPr>
          <w:rFonts w:ascii="Tahoma" w:hAnsi="Tahoma" w:cs="Tahoma"/>
          <w:sz w:val="24"/>
          <w:szCs w:val="24"/>
        </w:rPr>
        <w:t>13</w:t>
      </w:r>
      <w:r w:rsidRPr="002C2C90">
        <w:rPr>
          <w:rFonts w:ascii="Tahoma" w:hAnsi="Tahoma" w:cs="Tahoma"/>
          <w:sz w:val="24"/>
          <w:szCs w:val="24"/>
        </w:rPr>
        <w:t>,</w:t>
      </w:r>
      <w:r w:rsidR="002C2C90" w:rsidRPr="002C2C90">
        <w:rPr>
          <w:rFonts w:ascii="Tahoma" w:hAnsi="Tahoma" w:cs="Tahoma"/>
          <w:sz w:val="24"/>
          <w:szCs w:val="24"/>
        </w:rPr>
        <w:t>7</w:t>
      </w:r>
      <w:r w:rsidRPr="002C2C90">
        <w:rPr>
          <w:rFonts w:ascii="Tahoma" w:hAnsi="Tahoma" w:cs="Tahoma"/>
          <w:sz w:val="24"/>
          <w:szCs w:val="24"/>
        </w:rPr>
        <w:t>%) п</w:t>
      </w:r>
      <w:r w:rsidRPr="00962B61">
        <w:rPr>
          <w:rFonts w:ascii="Tahoma" w:hAnsi="Tahoma" w:cs="Tahoma"/>
          <w:sz w:val="24"/>
          <w:szCs w:val="24"/>
        </w:rPr>
        <w:t xml:space="preserve">о сравнению с сопоставимым периодом в связи </w:t>
      </w:r>
      <w:r w:rsidR="00344450" w:rsidRPr="00962B61">
        <w:rPr>
          <w:rFonts w:ascii="Tahoma" w:hAnsi="Tahoma" w:cs="Tahoma"/>
          <w:sz w:val="24"/>
          <w:szCs w:val="24"/>
        </w:rPr>
        <w:t xml:space="preserve">с индексацией тарифов и </w:t>
      </w:r>
      <w:r w:rsidRPr="00962B61">
        <w:rPr>
          <w:rFonts w:ascii="Tahoma" w:hAnsi="Tahoma" w:cs="Tahoma"/>
          <w:sz w:val="24"/>
          <w:szCs w:val="24"/>
        </w:rPr>
        <w:t xml:space="preserve">ростом объёмов поставок потребителям </w:t>
      </w:r>
      <w:r w:rsidR="00962B61" w:rsidRPr="00962B61">
        <w:rPr>
          <w:rFonts w:ascii="Tahoma" w:hAnsi="Tahoma" w:cs="Tahoma"/>
          <w:sz w:val="24"/>
          <w:szCs w:val="24"/>
        </w:rPr>
        <w:t>гарантирующих поставщиков в сбытовом сегменте</w:t>
      </w:r>
      <w:r w:rsidRPr="00962B61">
        <w:rPr>
          <w:rFonts w:ascii="Tahoma" w:hAnsi="Tahoma" w:cs="Tahoma"/>
          <w:sz w:val="24"/>
          <w:szCs w:val="24"/>
        </w:rPr>
        <w:t>.</w:t>
      </w:r>
      <w:r w:rsidRPr="000276A8">
        <w:rPr>
          <w:rFonts w:ascii="Tahoma" w:hAnsi="Tahoma" w:cs="Tahoma"/>
          <w:sz w:val="24"/>
          <w:szCs w:val="24"/>
          <w:highlight w:val="yellow"/>
        </w:rPr>
        <w:t xml:space="preserve"> </w:t>
      </w:r>
    </w:p>
    <w:p w:rsidR="00E027DA" w:rsidRPr="00962B61" w:rsidRDefault="00C52C4E">
      <w:pPr>
        <w:spacing w:before="100" w:beforeAutospacing="1" w:after="375" w:line="375" w:lineRule="atLeast"/>
        <w:jc w:val="both"/>
        <w:rPr>
          <w:rFonts w:ascii="Tahoma" w:eastAsia="Times New Roman" w:hAnsi="Tahoma" w:cs="Tahoma"/>
          <w:sz w:val="24"/>
          <w:szCs w:val="24"/>
        </w:rPr>
      </w:pPr>
      <w:r w:rsidRPr="00522C6D">
        <w:rPr>
          <w:rFonts w:ascii="Tahoma" w:eastAsia="Times New Roman" w:hAnsi="Tahoma" w:cs="Tahoma"/>
          <w:b/>
          <w:i/>
          <w:sz w:val="24"/>
          <w:szCs w:val="24"/>
        </w:rPr>
        <w:t>Расходы на</w:t>
      </w:r>
      <w:r w:rsidRPr="00522C6D">
        <w:rPr>
          <w:rFonts w:ascii="Tahoma" w:eastAsia="Times New Roman" w:hAnsi="Tahoma" w:cs="Tahoma"/>
          <w:sz w:val="24"/>
          <w:szCs w:val="24"/>
        </w:rPr>
        <w:t xml:space="preserve"> </w:t>
      </w:r>
      <w:r w:rsidRPr="00522C6D">
        <w:rPr>
          <w:rFonts w:ascii="Tahoma" w:eastAsia="Times New Roman" w:hAnsi="Tahoma" w:cs="Tahoma"/>
          <w:b/>
          <w:i/>
          <w:sz w:val="24"/>
          <w:szCs w:val="24"/>
        </w:rPr>
        <w:t>технологическое топливо</w:t>
      </w:r>
      <w:r w:rsidRPr="00522C6D">
        <w:rPr>
          <w:rFonts w:ascii="Tahoma" w:eastAsia="Times New Roman" w:hAnsi="Tahoma" w:cs="Tahoma"/>
          <w:sz w:val="24"/>
          <w:szCs w:val="24"/>
        </w:rPr>
        <w:t xml:space="preserve"> увеличились на </w:t>
      </w:r>
      <w:r w:rsidR="00770B55" w:rsidRPr="00522C6D">
        <w:rPr>
          <w:rFonts w:ascii="Tahoma" w:eastAsia="Times New Roman" w:hAnsi="Tahoma" w:cs="Tahoma"/>
          <w:sz w:val="24"/>
          <w:szCs w:val="24"/>
        </w:rPr>
        <w:t>1</w:t>
      </w:r>
      <w:r w:rsidR="00522C6D" w:rsidRPr="00522C6D">
        <w:rPr>
          <w:rFonts w:ascii="Tahoma" w:eastAsia="Times New Roman" w:hAnsi="Tahoma" w:cs="Tahoma"/>
          <w:sz w:val="24"/>
          <w:szCs w:val="24"/>
        </w:rPr>
        <w:t>7</w:t>
      </w:r>
      <w:r w:rsidRPr="00522C6D">
        <w:rPr>
          <w:rFonts w:ascii="Tahoma" w:eastAsia="Times New Roman" w:hAnsi="Tahoma" w:cs="Tahoma"/>
          <w:sz w:val="24"/>
          <w:szCs w:val="24"/>
        </w:rPr>
        <w:t>,</w:t>
      </w:r>
      <w:r w:rsidR="00770B55" w:rsidRPr="00522C6D">
        <w:rPr>
          <w:rFonts w:ascii="Tahoma" w:eastAsia="Times New Roman" w:hAnsi="Tahoma" w:cs="Tahoma"/>
          <w:sz w:val="24"/>
          <w:szCs w:val="24"/>
        </w:rPr>
        <w:t xml:space="preserve">4 </w:t>
      </w:r>
      <w:r w:rsidRPr="00522C6D">
        <w:rPr>
          <w:rFonts w:ascii="Tahoma" w:eastAsia="Times New Roman" w:hAnsi="Tahoma" w:cs="Tahoma"/>
          <w:sz w:val="24"/>
          <w:szCs w:val="24"/>
        </w:rPr>
        <w:t>млрд рублей (</w:t>
      </w:r>
      <w:r w:rsidR="00522C6D" w:rsidRPr="00522C6D">
        <w:rPr>
          <w:rFonts w:ascii="Tahoma" w:eastAsia="Times New Roman" w:hAnsi="Tahoma" w:cs="Tahoma"/>
          <w:sz w:val="24"/>
          <w:szCs w:val="24"/>
        </w:rPr>
        <w:t>18</w:t>
      </w:r>
      <w:r w:rsidRPr="00522C6D">
        <w:rPr>
          <w:rFonts w:ascii="Tahoma" w:eastAsia="Times New Roman" w:hAnsi="Tahoma" w:cs="Tahoma"/>
          <w:sz w:val="24"/>
          <w:szCs w:val="24"/>
        </w:rPr>
        <w:t>,</w:t>
      </w:r>
      <w:r w:rsidR="00522C6D" w:rsidRPr="00522C6D">
        <w:rPr>
          <w:rFonts w:ascii="Tahoma" w:eastAsia="Times New Roman" w:hAnsi="Tahoma" w:cs="Tahoma"/>
          <w:sz w:val="24"/>
          <w:szCs w:val="24"/>
        </w:rPr>
        <w:t>0</w:t>
      </w:r>
      <w:r w:rsidRPr="00522C6D">
        <w:rPr>
          <w:rFonts w:ascii="Tahoma" w:eastAsia="Times New Roman" w:hAnsi="Tahoma" w:cs="Tahoma"/>
          <w:sz w:val="24"/>
          <w:szCs w:val="24"/>
        </w:rPr>
        <w:t>%)</w:t>
      </w:r>
      <w:r w:rsidR="00E775F2">
        <w:rPr>
          <w:rFonts w:ascii="Tahoma" w:eastAsia="Times New Roman" w:hAnsi="Tahoma" w:cs="Tahoma"/>
          <w:sz w:val="24"/>
          <w:szCs w:val="24"/>
        </w:rPr>
        <w:t>,</w:t>
      </w:r>
      <w:r w:rsidRPr="00522C6D">
        <w:rPr>
          <w:rFonts w:ascii="Tahoma" w:eastAsia="Times New Roman" w:hAnsi="Tahoma" w:cs="Tahoma"/>
          <w:sz w:val="24"/>
          <w:szCs w:val="24"/>
        </w:rPr>
        <w:t xml:space="preserve"> до </w:t>
      </w:r>
      <w:r w:rsidR="00522C6D" w:rsidRPr="00522C6D">
        <w:rPr>
          <w:rFonts w:ascii="Tahoma" w:eastAsia="Times New Roman" w:hAnsi="Tahoma" w:cs="Tahoma"/>
          <w:sz w:val="24"/>
          <w:szCs w:val="24"/>
        </w:rPr>
        <w:t>114</w:t>
      </w:r>
      <w:r w:rsidRPr="00522C6D">
        <w:rPr>
          <w:rFonts w:ascii="Tahoma" w:eastAsia="Times New Roman" w:hAnsi="Tahoma" w:cs="Tahoma"/>
          <w:sz w:val="24"/>
          <w:szCs w:val="24"/>
        </w:rPr>
        <w:t>,</w:t>
      </w:r>
      <w:r w:rsidR="00522C6D" w:rsidRPr="00522C6D">
        <w:rPr>
          <w:rFonts w:ascii="Tahoma" w:eastAsia="Times New Roman" w:hAnsi="Tahoma" w:cs="Tahoma"/>
          <w:sz w:val="24"/>
          <w:szCs w:val="24"/>
        </w:rPr>
        <w:t>2</w:t>
      </w:r>
      <w:r w:rsidR="00770B55" w:rsidRPr="00522C6D">
        <w:rPr>
          <w:rFonts w:ascii="Tahoma" w:eastAsia="Times New Roman" w:hAnsi="Tahoma" w:cs="Tahoma"/>
          <w:sz w:val="24"/>
          <w:szCs w:val="24"/>
        </w:rPr>
        <w:t xml:space="preserve"> </w:t>
      </w:r>
      <w:r w:rsidRPr="00522C6D">
        <w:rPr>
          <w:rFonts w:ascii="Tahoma" w:eastAsia="Times New Roman" w:hAnsi="Tahoma" w:cs="Tahoma"/>
          <w:sz w:val="24"/>
          <w:szCs w:val="24"/>
        </w:rPr>
        <w:t>млрд рублей</w:t>
      </w:r>
      <w:r w:rsidR="008159D6">
        <w:rPr>
          <w:rFonts w:ascii="Tahoma" w:eastAsia="Times New Roman" w:hAnsi="Tahoma" w:cs="Tahoma"/>
          <w:sz w:val="24"/>
          <w:szCs w:val="24"/>
        </w:rPr>
        <w:t>,</w:t>
      </w:r>
      <w:r w:rsidRPr="00522C6D">
        <w:rPr>
          <w:rFonts w:ascii="Tahoma" w:eastAsia="Times New Roman" w:hAnsi="Tahoma" w:cs="Tahoma"/>
          <w:sz w:val="24"/>
          <w:szCs w:val="24"/>
        </w:rPr>
        <w:t xml:space="preserve"> как под </w:t>
      </w:r>
      <w:r w:rsidRPr="00962B61">
        <w:rPr>
          <w:rFonts w:ascii="Tahoma" w:eastAsia="Times New Roman" w:hAnsi="Tahoma" w:cs="Tahoma"/>
          <w:sz w:val="24"/>
          <w:szCs w:val="24"/>
        </w:rPr>
        <w:t>воздействием роста цен на уголь и газ, так и за сч</w:t>
      </w:r>
      <w:r w:rsidR="008159D6">
        <w:rPr>
          <w:rFonts w:ascii="Tahoma" w:eastAsia="Times New Roman" w:hAnsi="Tahoma" w:cs="Tahoma"/>
          <w:sz w:val="24"/>
          <w:szCs w:val="24"/>
        </w:rPr>
        <w:t>ё</w:t>
      </w:r>
      <w:r w:rsidRPr="00962B61">
        <w:rPr>
          <w:rFonts w:ascii="Tahoma" w:eastAsia="Times New Roman" w:hAnsi="Tahoma" w:cs="Tahoma"/>
          <w:sz w:val="24"/>
          <w:szCs w:val="24"/>
        </w:rPr>
        <w:t>т увеличения выработки электроэнергии.</w:t>
      </w:r>
    </w:p>
    <w:p w:rsidR="00E027DA" w:rsidRPr="005E634D" w:rsidRDefault="00222CE6">
      <w:pPr>
        <w:spacing w:before="40" w:after="80" w:line="375" w:lineRule="atLeast"/>
        <w:jc w:val="both"/>
        <w:rPr>
          <w:rFonts w:ascii="Tahoma" w:hAnsi="Tahoma" w:cs="Tahoma"/>
          <w:sz w:val="24"/>
          <w:szCs w:val="24"/>
        </w:rPr>
      </w:pPr>
      <w:r w:rsidRPr="00CC5C48">
        <w:rPr>
          <w:rFonts w:ascii="Tahoma" w:hAnsi="Tahoma" w:cs="Tahoma"/>
          <w:b/>
          <w:i/>
          <w:sz w:val="24"/>
          <w:szCs w:val="24"/>
        </w:rPr>
        <w:t>Р</w:t>
      </w:r>
      <w:r w:rsidR="00C52C4E" w:rsidRPr="00CC5C48">
        <w:rPr>
          <w:rFonts w:ascii="Tahoma" w:hAnsi="Tahoma" w:cs="Tahoma"/>
          <w:b/>
          <w:i/>
          <w:sz w:val="24"/>
          <w:szCs w:val="24"/>
        </w:rPr>
        <w:t>асход</w:t>
      </w:r>
      <w:r w:rsidRPr="00CC5C48">
        <w:rPr>
          <w:rFonts w:ascii="Tahoma" w:hAnsi="Tahoma" w:cs="Tahoma"/>
          <w:b/>
          <w:i/>
          <w:sz w:val="24"/>
          <w:szCs w:val="24"/>
        </w:rPr>
        <w:t>ы</w:t>
      </w:r>
      <w:r w:rsidR="00C52C4E" w:rsidRPr="00CC5C48">
        <w:rPr>
          <w:rFonts w:ascii="Tahoma" w:hAnsi="Tahoma" w:cs="Tahoma"/>
          <w:b/>
          <w:i/>
          <w:sz w:val="24"/>
          <w:szCs w:val="24"/>
        </w:rPr>
        <w:t xml:space="preserve"> на покупную электроэнергию и мощность</w:t>
      </w:r>
      <w:r w:rsidR="00C52C4E" w:rsidRPr="00CC5C48">
        <w:rPr>
          <w:rFonts w:ascii="Tahoma" w:hAnsi="Tahoma" w:cs="Tahoma"/>
          <w:sz w:val="24"/>
          <w:szCs w:val="24"/>
        </w:rPr>
        <w:t xml:space="preserve"> по отношению к сопоставимому периоду </w:t>
      </w:r>
      <w:r w:rsidRPr="00CC5C48">
        <w:rPr>
          <w:rFonts w:ascii="Tahoma" w:hAnsi="Tahoma" w:cs="Tahoma"/>
          <w:sz w:val="24"/>
          <w:szCs w:val="24"/>
        </w:rPr>
        <w:t xml:space="preserve">увеличились на </w:t>
      </w:r>
      <w:r w:rsidR="00CC5C48" w:rsidRPr="00CC5C48">
        <w:rPr>
          <w:rFonts w:ascii="Tahoma" w:hAnsi="Tahoma" w:cs="Tahoma"/>
          <w:sz w:val="24"/>
          <w:szCs w:val="24"/>
        </w:rPr>
        <w:t>3</w:t>
      </w:r>
      <w:r w:rsidR="00C52C4E" w:rsidRPr="00CC5C48">
        <w:rPr>
          <w:rFonts w:ascii="Tahoma" w:hAnsi="Tahoma" w:cs="Tahoma"/>
          <w:sz w:val="24"/>
          <w:szCs w:val="24"/>
        </w:rPr>
        <w:t>,</w:t>
      </w:r>
      <w:r w:rsidR="00CC5C48" w:rsidRPr="00CC5C48">
        <w:rPr>
          <w:rFonts w:ascii="Tahoma" w:hAnsi="Tahoma" w:cs="Tahoma"/>
          <w:sz w:val="24"/>
          <w:szCs w:val="24"/>
        </w:rPr>
        <w:t>7</w:t>
      </w:r>
      <w:r w:rsidR="00770B55" w:rsidRPr="00CC5C48">
        <w:rPr>
          <w:rFonts w:ascii="Tahoma" w:hAnsi="Tahoma" w:cs="Tahoma"/>
          <w:sz w:val="24"/>
          <w:szCs w:val="24"/>
        </w:rPr>
        <w:t xml:space="preserve"> </w:t>
      </w:r>
      <w:r w:rsidR="00C52C4E" w:rsidRPr="00CC5C48">
        <w:rPr>
          <w:rFonts w:ascii="Tahoma" w:hAnsi="Tahoma" w:cs="Tahoma"/>
          <w:sz w:val="24"/>
          <w:szCs w:val="24"/>
        </w:rPr>
        <w:t>млрд р</w:t>
      </w:r>
      <w:r w:rsidR="00C52C4E" w:rsidRPr="00962B61">
        <w:rPr>
          <w:rFonts w:ascii="Tahoma" w:hAnsi="Tahoma" w:cs="Tahoma"/>
          <w:sz w:val="24"/>
          <w:szCs w:val="24"/>
        </w:rPr>
        <w:t>ублей (</w:t>
      </w:r>
      <w:r w:rsidR="00CC5C48" w:rsidRPr="00962B61">
        <w:rPr>
          <w:rFonts w:ascii="Tahoma" w:hAnsi="Tahoma" w:cs="Tahoma"/>
          <w:sz w:val="24"/>
          <w:szCs w:val="24"/>
        </w:rPr>
        <w:t>1</w:t>
      </w:r>
      <w:r w:rsidR="00C52C4E" w:rsidRPr="00962B61">
        <w:rPr>
          <w:rFonts w:ascii="Tahoma" w:hAnsi="Tahoma" w:cs="Tahoma"/>
          <w:sz w:val="24"/>
          <w:szCs w:val="24"/>
        </w:rPr>
        <w:t>,</w:t>
      </w:r>
      <w:r w:rsidR="00CC5C48" w:rsidRPr="00962B61">
        <w:rPr>
          <w:rFonts w:ascii="Tahoma" w:hAnsi="Tahoma" w:cs="Tahoma"/>
          <w:sz w:val="24"/>
          <w:szCs w:val="24"/>
        </w:rPr>
        <w:t>0</w:t>
      </w:r>
      <w:r w:rsidR="00C52C4E" w:rsidRPr="00962B61">
        <w:rPr>
          <w:rFonts w:ascii="Tahoma" w:hAnsi="Tahoma" w:cs="Tahoma"/>
          <w:sz w:val="24"/>
          <w:szCs w:val="24"/>
        </w:rPr>
        <w:t xml:space="preserve">%), составив </w:t>
      </w:r>
      <w:r w:rsidR="00CC5C48" w:rsidRPr="00962B61">
        <w:rPr>
          <w:rFonts w:ascii="Tahoma" w:hAnsi="Tahoma" w:cs="Tahoma"/>
          <w:sz w:val="24"/>
          <w:szCs w:val="24"/>
        </w:rPr>
        <w:t>361</w:t>
      </w:r>
      <w:r w:rsidR="00C52C4E" w:rsidRPr="00962B61">
        <w:rPr>
          <w:rFonts w:ascii="Tahoma" w:hAnsi="Tahoma" w:cs="Tahoma"/>
          <w:sz w:val="24"/>
          <w:szCs w:val="24"/>
        </w:rPr>
        <w:t>,</w:t>
      </w:r>
      <w:r w:rsidR="00CC5C48" w:rsidRPr="00962B61">
        <w:rPr>
          <w:rFonts w:ascii="Tahoma" w:hAnsi="Tahoma" w:cs="Tahoma"/>
          <w:sz w:val="24"/>
          <w:szCs w:val="24"/>
        </w:rPr>
        <w:t>6</w:t>
      </w:r>
      <w:r w:rsidR="00770B55" w:rsidRPr="00962B61">
        <w:rPr>
          <w:rFonts w:ascii="Tahoma" w:hAnsi="Tahoma" w:cs="Tahoma"/>
          <w:sz w:val="24"/>
          <w:szCs w:val="24"/>
        </w:rPr>
        <w:t xml:space="preserve"> </w:t>
      </w:r>
      <w:r w:rsidR="00C52C4E" w:rsidRPr="00962B61">
        <w:rPr>
          <w:rFonts w:ascii="Tahoma" w:hAnsi="Tahoma" w:cs="Tahoma"/>
          <w:sz w:val="24"/>
          <w:szCs w:val="24"/>
        </w:rPr>
        <w:t xml:space="preserve">млрд рублей. </w:t>
      </w:r>
      <w:r w:rsidRPr="00962B61">
        <w:rPr>
          <w:rFonts w:ascii="Tahoma" w:hAnsi="Tahoma" w:cs="Tahoma"/>
          <w:sz w:val="24"/>
          <w:szCs w:val="24"/>
        </w:rPr>
        <w:t xml:space="preserve">Рост расходов в </w:t>
      </w:r>
      <w:r w:rsidR="00F965B4" w:rsidRPr="00962B61">
        <w:rPr>
          <w:rFonts w:ascii="Tahoma" w:hAnsi="Tahoma" w:cs="Tahoma"/>
          <w:sz w:val="24"/>
          <w:szCs w:val="24"/>
        </w:rPr>
        <w:t xml:space="preserve">сегменте </w:t>
      </w:r>
      <w:r w:rsidRPr="00962B61">
        <w:rPr>
          <w:rFonts w:ascii="Tahoma" w:hAnsi="Tahoma" w:cs="Tahoma"/>
          <w:sz w:val="24"/>
          <w:szCs w:val="24"/>
        </w:rPr>
        <w:t>«Сбыт», который произош</w:t>
      </w:r>
      <w:r w:rsidR="008159D6">
        <w:rPr>
          <w:rFonts w:ascii="Tahoma" w:hAnsi="Tahoma" w:cs="Tahoma"/>
          <w:sz w:val="24"/>
          <w:szCs w:val="24"/>
        </w:rPr>
        <w:t>ё</w:t>
      </w:r>
      <w:r w:rsidRPr="00962B61">
        <w:rPr>
          <w:rFonts w:ascii="Tahoma" w:hAnsi="Tahoma" w:cs="Tahoma"/>
          <w:sz w:val="24"/>
          <w:szCs w:val="24"/>
        </w:rPr>
        <w:t>л под воздействием увеличения цен на РСВ и роста энергопотребления, был частично</w:t>
      </w:r>
      <w:r w:rsidRPr="005E634D">
        <w:rPr>
          <w:rFonts w:ascii="Tahoma" w:hAnsi="Tahoma" w:cs="Tahoma"/>
          <w:sz w:val="24"/>
          <w:szCs w:val="24"/>
        </w:rPr>
        <w:t xml:space="preserve"> нивелирован за сч</w:t>
      </w:r>
      <w:r w:rsidR="008159D6">
        <w:rPr>
          <w:rFonts w:ascii="Tahoma" w:hAnsi="Tahoma" w:cs="Tahoma"/>
          <w:sz w:val="24"/>
          <w:szCs w:val="24"/>
        </w:rPr>
        <w:t>ё</w:t>
      </w:r>
      <w:r w:rsidRPr="005E634D">
        <w:rPr>
          <w:rFonts w:ascii="Tahoma" w:hAnsi="Tahoma" w:cs="Tahoma"/>
          <w:sz w:val="24"/>
          <w:szCs w:val="24"/>
        </w:rPr>
        <w:t xml:space="preserve">т компаний трейдингового сегмента и был связан </w:t>
      </w:r>
      <w:r w:rsidR="00C52C4E" w:rsidRPr="005E634D">
        <w:rPr>
          <w:rFonts w:ascii="Tahoma" w:hAnsi="Tahoma" w:cs="Tahoma"/>
          <w:sz w:val="24"/>
          <w:szCs w:val="24"/>
        </w:rPr>
        <w:t xml:space="preserve">с приостановкой экспорта в Финляндию и страны Балтии с мая 2022 года.  </w:t>
      </w:r>
    </w:p>
    <w:p w:rsidR="00E027DA" w:rsidRPr="00752BB9" w:rsidRDefault="00C52C4E">
      <w:pPr>
        <w:spacing w:before="100" w:beforeAutospacing="1" w:after="375" w:line="375" w:lineRule="atLeast"/>
        <w:jc w:val="both"/>
        <w:rPr>
          <w:rFonts w:ascii="Tahoma" w:eastAsia="Times New Roman" w:hAnsi="Tahoma" w:cs="Tahoma"/>
          <w:b/>
          <w:bCs/>
          <w:sz w:val="24"/>
          <w:szCs w:val="24"/>
        </w:rPr>
      </w:pPr>
      <w:r w:rsidRPr="00752BB9">
        <w:rPr>
          <w:rFonts w:ascii="Tahoma" w:eastAsia="Times New Roman" w:hAnsi="Tahoma" w:cs="Tahoma"/>
          <w:b/>
          <w:bCs/>
          <w:sz w:val="24"/>
          <w:szCs w:val="24"/>
        </w:rPr>
        <w:t xml:space="preserve">Показатель EBITDA составил </w:t>
      </w:r>
      <w:r w:rsidR="00752BB9" w:rsidRPr="00752BB9">
        <w:rPr>
          <w:rFonts w:ascii="Tahoma" w:eastAsia="Times New Roman" w:hAnsi="Tahoma" w:cs="Tahoma"/>
          <w:b/>
          <w:bCs/>
          <w:sz w:val="24"/>
          <w:szCs w:val="24"/>
        </w:rPr>
        <w:t>127</w:t>
      </w:r>
      <w:r w:rsidRPr="00752BB9">
        <w:rPr>
          <w:rFonts w:ascii="Tahoma" w:eastAsia="Times New Roman" w:hAnsi="Tahoma" w:cs="Tahoma"/>
          <w:b/>
          <w:bCs/>
          <w:sz w:val="24"/>
          <w:szCs w:val="24"/>
        </w:rPr>
        <w:t>,</w:t>
      </w:r>
      <w:r w:rsidR="00752BB9" w:rsidRPr="00752BB9">
        <w:rPr>
          <w:rFonts w:ascii="Tahoma" w:eastAsia="Times New Roman" w:hAnsi="Tahoma" w:cs="Tahoma"/>
          <w:b/>
          <w:bCs/>
          <w:sz w:val="24"/>
          <w:szCs w:val="24"/>
        </w:rPr>
        <w:t>3</w:t>
      </w:r>
      <w:r w:rsidR="00757525" w:rsidRPr="00752BB9">
        <w:rPr>
          <w:rFonts w:ascii="Tahoma" w:eastAsia="Times New Roman" w:hAnsi="Tahoma" w:cs="Tahoma"/>
          <w:b/>
          <w:bCs/>
          <w:sz w:val="24"/>
          <w:szCs w:val="24"/>
        </w:rPr>
        <w:t xml:space="preserve"> </w:t>
      </w:r>
      <w:r w:rsidRPr="00752BB9">
        <w:rPr>
          <w:rFonts w:ascii="Tahoma" w:eastAsia="Times New Roman" w:hAnsi="Tahoma" w:cs="Tahoma"/>
          <w:b/>
          <w:bCs/>
          <w:sz w:val="24"/>
          <w:szCs w:val="24"/>
        </w:rPr>
        <w:t xml:space="preserve">млрд рублей, уменьшившись по сравнению с показателем </w:t>
      </w:r>
      <w:r w:rsidR="00752BB9" w:rsidRPr="00752BB9">
        <w:rPr>
          <w:rFonts w:ascii="Tahoma" w:eastAsia="Times New Roman" w:hAnsi="Tahoma" w:cs="Tahoma"/>
          <w:b/>
          <w:bCs/>
          <w:sz w:val="24"/>
          <w:szCs w:val="24"/>
        </w:rPr>
        <w:t>9 месяцев</w:t>
      </w:r>
      <w:r w:rsidR="00757525" w:rsidRPr="00752BB9">
        <w:rPr>
          <w:rFonts w:ascii="Tahoma" w:eastAsia="Times New Roman" w:hAnsi="Tahoma" w:cs="Tahoma"/>
          <w:b/>
          <w:bCs/>
          <w:sz w:val="24"/>
          <w:szCs w:val="24"/>
        </w:rPr>
        <w:t xml:space="preserve"> </w:t>
      </w:r>
      <w:r w:rsidRPr="00752BB9">
        <w:rPr>
          <w:rFonts w:ascii="Tahoma" w:eastAsia="Times New Roman" w:hAnsi="Tahoma" w:cs="Tahoma"/>
          <w:b/>
          <w:bCs/>
          <w:sz w:val="24"/>
          <w:szCs w:val="24"/>
        </w:rPr>
        <w:t xml:space="preserve">2022 года на </w:t>
      </w:r>
      <w:r w:rsidR="00752BB9" w:rsidRPr="00752BB9">
        <w:rPr>
          <w:rFonts w:ascii="Tahoma" w:eastAsia="Times New Roman" w:hAnsi="Tahoma" w:cs="Tahoma"/>
          <w:b/>
          <w:bCs/>
          <w:sz w:val="24"/>
          <w:szCs w:val="24"/>
        </w:rPr>
        <w:t>5</w:t>
      </w:r>
      <w:r w:rsidRPr="00752BB9">
        <w:rPr>
          <w:rFonts w:ascii="Tahoma" w:eastAsia="Times New Roman" w:hAnsi="Tahoma" w:cs="Tahoma"/>
          <w:b/>
          <w:bCs/>
          <w:sz w:val="24"/>
          <w:szCs w:val="24"/>
        </w:rPr>
        <w:t>,</w:t>
      </w:r>
      <w:r w:rsidR="00752BB9" w:rsidRPr="00752BB9">
        <w:rPr>
          <w:rFonts w:ascii="Tahoma" w:eastAsia="Times New Roman" w:hAnsi="Tahoma" w:cs="Tahoma"/>
          <w:b/>
          <w:bCs/>
          <w:sz w:val="24"/>
          <w:szCs w:val="24"/>
        </w:rPr>
        <w:t>9</w:t>
      </w:r>
      <w:r w:rsidR="00757525" w:rsidRPr="00752BB9">
        <w:rPr>
          <w:rFonts w:ascii="Tahoma" w:eastAsia="Times New Roman" w:hAnsi="Tahoma" w:cs="Tahoma"/>
          <w:b/>
          <w:bCs/>
          <w:sz w:val="24"/>
          <w:szCs w:val="24"/>
        </w:rPr>
        <w:t xml:space="preserve"> </w:t>
      </w:r>
      <w:r w:rsidRPr="00752BB9">
        <w:rPr>
          <w:rFonts w:ascii="Tahoma" w:eastAsia="Times New Roman" w:hAnsi="Tahoma" w:cs="Tahoma"/>
          <w:b/>
          <w:bCs/>
          <w:sz w:val="24"/>
          <w:szCs w:val="24"/>
        </w:rPr>
        <w:t xml:space="preserve">млрд рублей, или </w:t>
      </w:r>
      <w:r w:rsidR="00752BB9" w:rsidRPr="00752BB9">
        <w:rPr>
          <w:rFonts w:ascii="Tahoma" w:eastAsia="Times New Roman" w:hAnsi="Tahoma" w:cs="Tahoma"/>
          <w:b/>
          <w:bCs/>
          <w:sz w:val="24"/>
          <w:szCs w:val="24"/>
        </w:rPr>
        <w:t>4</w:t>
      </w:r>
      <w:r w:rsidRPr="00752BB9">
        <w:rPr>
          <w:rFonts w:ascii="Tahoma" w:eastAsia="Times New Roman" w:hAnsi="Tahoma" w:cs="Tahoma"/>
          <w:b/>
          <w:bCs/>
          <w:sz w:val="24"/>
          <w:szCs w:val="24"/>
        </w:rPr>
        <w:t>,</w:t>
      </w:r>
      <w:r w:rsidR="00752BB9" w:rsidRPr="00752BB9">
        <w:rPr>
          <w:rFonts w:ascii="Tahoma" w:eastAsia="Times New Roman" w:hAnsi="Tahoma" w:cs="Tahoma"/>
          <w:b/>
          <w:bCs/>
          <w:sz w:val="24"/>
          <w:szCs w:val="24"/>
        </w:rPr>
        <w:t>5</w:t>
      </w:r>
      <w:r w:rsidRPr="00752BB9">
        <w:rPr>
          <w:rFonts w:ascii="Tahoma" w:eastAsia="Times New Roman" w:hAnsi="Tahoma" w:cs="Tahoma"/>
          <w:b/>
          <w:bCs/>
          <w:sz w:val="24"/>
          <w:szCs w:val="24"/>
        </w:rPr>
        <w:t xml:space="preserve">%. </w:t>
      </w:r>
    </w:p>
    <w:p w:rsidR="00E027DA" w:rsidRPr="00962B61" w:rsidRDefault="00C52C4E">
      <w:pPr>
        <w:spacing w:before="100" w:beforeAutospacing="1" w:after="375" w:line="375" w:lineRule="atLeast"/>
        <w:jc w:val="both"/>
        <w:rPr>
          <w:rFonts w:ascii="Tahoma" w:eastAsia="Times New Roman" w:hAnsi="Tahoma" w:cs="Tahoma"/>
          <w:bCs/>
          <w:sz w:val="24"/>
          <w:szCs w:val="24"/>
        </w:rPr>
      </w:pPr>
      <w:r w:rsidRPr="00962B61">
        <w:rPr>
          <w:rFonts w:ascii="Tahoma" w:eastAsia="Times New Roman" w:hAnsi="Tahoma" w:cs="Tahoma"/>
          <w:bCs/>
          <w:sz w:val="24"/>
          <w:szCs w:val="24"/>
        </w:rPr>
        <w:t>Снижение показателя произошло за сч</w:t>
      </w:r>
      <w:r w:rsidR="008159D6">
        <w:rPr>
          <w:rFonts w:ascii="Tahoma" w:eastAsia="Times New Roman" w:hAnsi="Tahoma" w:cs="Tahoma"/>
          <w:bCs/>
          <w:sz w:val="24"/>
          <w:szCs w:val="24"/>
        </w:rPr>
        <w:t>ё</w:t>
      </w:r>
      <w:r w:rsidRPr="00962B61">
        <w:rPr>
          <w:rFonts w:ascii="Tahoma" w:eastAsia="Times New Roman" w:hAnsi="Tahoma" w:cs="Tahoma"/>
          <w:bCs/>
          <w:sz w:val="24"/>
          <w:szCs w:val="24"/>
        </w:rPr>
        <w:t>т результатов сегмента «Трейдинг».</w:t>
      </w:r>
    </w:p>
    <w:p w:rsidR="00E027DA" w:rsidRPr="0003272A" w:rsidRDefault="00C52C4E">
      <w:pPr>
        <w:spacing w:before="100" w:beforeAutospacing="1" w:after="375" w:line="375" w:lineRule="atLeast"/>
        <w:jc w:val="both"/>
        <w:rPr>
          <w:rFonts w:ascii="Tahoma" w:eastAsia="Times New Roman" w:hAnsi="Tahoma" w:cs="Tahoma"/>
          <w:sz w:val="24"/>
          <w:szCs w:val="24"/>
        </w:rPr>
      </w:pPr>
      <w:r w:rsidRPr="0003272A">
        <w:rPr>
          <w:rFonts w:ascii="Tahoma" w:eastAsia="Times New Roman" w:hAnsi="Tahoma" w:cs="Tahoma"/>
          <w:b/>
          <w:i/>
          <w:sz w:val="24"/>
          <w:szCs w:val="24"/>
        </w:rPr>
        <w:t xml:space="preserve">Показатель </w:t>
      </w:r>
      <w:r w:rsidRPr="0003272A">
        <w:rPr>
          <w:rFonts w:ascii="Tahoma" w:eastAsia="Times New Roman" w:hAnsi="Tahoma" w:cs="Tahoma"/>
          <w:b/>
          <w:i/>
          <w:sz w:val="24"/>
          <w:szCs w:val="24"/>
          <w:lang w:val="en-US"/>
        </w:rPr>
        <w:t>EBITDA</w:t>
      </w:r>
      <w:r w:rsidRPr="0003272A">
        <w:rPr>
          <w:rFonts w:ascii="Tahoma" w:eastAsia="Times New Roman" w:hAnsi="Tahoma" w:cs="Tahoma"/>
          <w:b/>
          <w:i/>
          <w:sz w:val="24"/>
          <w:szCs w:val="24"/>
        </w:rPr>
        <w:t xml:space="preserve"> сегмента «Трейдинг»</w:t>
      </w:r>
      <w:r w:rsidRPr="0003272A">
        <w:rPr>
          <w:rFonts w:ascii="Tahoma" w:eastAsia="Times New Roman" w:hAnsi="Tahoma" w:cs="Tahoma"/>
          <w:sz w:val="24"/>
          <w:szCs w:val="24"/>
        </w:rPr>
        <w:t xml:space="preserve"> за </w:t>
      </w:r>
      <w:r w:rsidR="0003272A" w:rsidRPr="0003272A">
        <w:rPr>
          <w:rFonts w:ascii="Tahoma" w:eastAsia="Times New Roman" w:hAnsi="Tahoma" w:cs="Tahoma"/>
          <w:sz w:val="24"/>
          <w:szCs w:val="24"/>
        </w:rPr>
        <w:t>9 месяцев</w:t>
      </w:r>
      <w:r w:rsidR="00757525" w:rsidRPr="0003272A">
        <w:rPr>
          <w:rFonts w:ascii="Tahoma" w:eastAsia="Times New Roman" w:hAnsi="Tahoma" w:cs="Tahoma"/>
          <w:sz w:val="24"/>
          <w:szCs w:val="24"/>
        </w:rPr>
        <w:t xml:space="preserve"> </w:t>
      </w:r>
      <w:r w:rsidRPr="0003272A">
        <w:rPr>
          <w:rFonts w:ascii="Tahoma" w:eastAsia="Times New Roman" w:hAnsi="Tahoma" w:cs="Tahoma"/>
          <w:sz w:val="24"/>
          <w:szCs w:val="24"/>
        </w:rPr>
        <w:t xml:space="preserve">2023 года составил </w:t>
      </w:r>
      <w:r w:rsidR="0003272A" w:rsidRPr="0003272A">
        <w:rPr>
          <w:rFonts w:ascii="Tahoma" w:eastAsia="Times New Roman" w:hAnsi="Tahoma" w:cs="Tahoma"/>
          <w:sz w:val="24"/>
          <w:szCs w:val="24"/>
        </w:rPr>
        <w:t>3</w:t>
      </w:r>
      <w:r w:rsidRPr="0003272A">
        <w:rPr>
          <w:rFonts w:ascii="Tahoma" w:eastAsia="Times New Roman" w:hAnsi="Tahoma" w:cs="Tahoma"/>
          <w:sz w:val="24"/>
          <w:szCs w:val="24"/>
        </w:rPr>
        <w:t>,</w:t>
      </w:r>
      <w:r w:rsidR="0003272A" w:rsidRPr="0003272A">
        <w:rPr>
          <w:rFonts w:ascii="Tahoma" w:eastAsia="Times New Roman" w:hAnsi="Tahoma" w:cs="Tahoma"/>
          <w:sz w:val="24"/>
          <w:szCs w:val="24"/>
        </w:rPr>
        <w:t>9</w:t>
      </w:r>
      <w:r w:rsidR="00757525" w:rsidRPr="0003272A">
        <w:rPr>
          <w:rFonts w:ascii="Tahoma" w:eastAsia="Times New Roman" w:hAnsi="Tahoma" w:cs="Tahoma"/>
          <w:sz w:val="24"/>
          <w:szCs w:val="24"/>
        </w:rPr>
        <w:t xml:space="preserve"> </w:t>
      </w:r>
      <w:r w:rsidRPr="0003272A">
        <w:rPr>
          <w:rFonts w:ascii="Tahoma" w:eastAsia="Times New Roman" w:hAnsi="Tahoma" w:cs="Tahoma"/>
          <w:sz w:val="24"/>
          <w:szCs w:val="24"/>
        </w:rPr>
        <w:t xml:space="preserve">млрд рублей и представлен в основном результатами поставок в </w:t>
      </w:r>
      <w:r w:rsidR="008159D6">
        <w:rPr>
          <w:rFonts w:ascii="Tahoma" w:eastAsia="Times New Roman" w:hAnsi="Tahoma" w:cs="Tahoma"/>
          <w:sz w:val="24"/>
          <w:szCs w:val="24"/>
        </w:rPr>
        <w:t xml:space="preserve">восточном </w:t>
      </w:r>
      <w:r w:rsidRPr="0003272A">
        <w:rPr>
          <w:rFonts w:ascii="Tahoma" w:eastAsia="Times New Roman" w:hAnsi="Tahoma" w:cs="Tahoma"/>
          <w:sz w:val="24"/>
          <w:szCs w:val="24"/>
        </w:rPr>
        <w:t xml:space="preserve">направлении. В сопоставимом периоде показатель EBITDA составил </w:t>
      </w:r>
      <w:r w:rsidR="0003272A" w:rsidRPr="0003272A">
        <w:rPr>
          <w:rFonts w:ascii="Tahoma" w:eastAsia="Times New Roman" w:hAnsi="Tahoma" w:cs="Tahoma"/>
          <w:sz w:val="24"/>
          <w:szCs w:val="24"/>
        </w:rPr>
        <w:t>31</w:t>
      </w:r>
      <w:r w:rsidRPr="0003272A">
        <w:rPr>
          <w:rFonts w:ascii="Tahoma" w:eastAsia="Times New Roman" w:hAnsi="Tahoma" w:cs="Tahoma"/>
          <w:sz w:val="24"/>
          <w:szCs w:val="24"/>
        </w:rPr>
        <w:t>,</w:t>
      </w:r>
      <w:r w:rsidR="0003272A" w:rsidRPr="0003272A">
        <w:rPr>
          <w:rFonts w:ascii="Tahoma" w:eastAsia="Times New Roman" w:hAnsi="Tahoma" w:cs="Tahoma"/>
          <w:sz w:val="24"/>
          <w:szCs w:val="24"/>
        </w:rPr>
        <w:t>3</w:t>
      </w:r>
      <w:r w:rsidRPr="0003272A">
        <w:rPr>
          <w:rFonts w:ascii="Tahoma" w:eastAsia="Times New Roman" w:hAnsi="Tahoma" w:cs="Tahoma"/>
          <w:sz w:val="24"/>
          <w:szCs w:val="24"/>
        </w:rPr>
        <w:t xml:space="preserve"> млрд рублей и сформировался за сч</w:t>
      </w:r>
      <w:r w:rsidR="008159D6">
        <w:rPr>
          <w:rFonts w:ascii="Tahoma" w:eastAsia="Times New Roman" w:hAnsi="Tahoma" w:cs="Tahoma"/>
          <w:sz w:val="24"/>
          <w:szCs w:val="24"/>
        </w:rPr>
        <w:t>ё</w:t>
      </w:r>
      <w:r w:rsidRPr="0003272A">
        <w:rPr>
          <w:rFonts w:ascii="Tahoma" w:eastAsia="Times New Roman" w:hAnsi="Tahoma" w:cs="Tahoma"/>
          <w:sz w:val="24"/>
          <w:szCs w:val="24"/>
        </w:rPr>
        <w:t xml:space="preserve">т поставок в Финляндию и страны Балтии. </w:t>
      </w:r>
    </w:p>
    <w:p w:rsidR="00E027DA" w:rsidRPr="00254822" w:rsidRDefault="00C52C4E">
      <w:pPr>
        <w:spacing w:after="375" w:line="375" w:lineRule="atLeast"/>
        <w:jc w:val="both"/>
        <w:rPr>
          <w:rFonts w:ascii="Tahoma" w:eastAsia="Times New Roman" w:hAnsi="Tahoma" w:cs="Tahoma"/>
          <w:sz w:val="24"/>
          <w:szCs w:val="24"/>
        </w:rPr>
      </w:pPr>
      <w:r w:rsidRPr="00254822">
        <w:rPr>
          <w:rFonts w:ascii="Tahoma" w:eastAsia="Times New Roman" w:hAnsi="Tahoma" w:cs="Tahoma"/>
          <w:sz w:val="24"/>
          <w:szCs w:val="24"/>
        </w:rPr>
        <w:t xml:space="preserve">Показатель EBITDA </w:t>
      </w:r>
      <w:proofErr w:type="spellStart"/>
      <w:r w:rsidRPr="00254822">
        <w:rPr>
          <w:rFonts w:ascii="Tahoma" w:eastAsia="Times New Roman" w:hAnsi="Tahoma" w:cs="Tahoma"/>
          <w:b/>
          <w:i/>
          <w:sz w:val="24"/>
          <w:szCs w:val="24"/>
        </w:rPr>
        <w:t>cегмента</w:t>
      </w:r>
      <w:proofErr w:type="spellEnd"/>
      <w:r w:rsidRPr="00254822">
        <w:rPr>
          <w:rFonts w:ascii="Tahoma" w:eastAsia="Times New Roman" w:hAnsi="Tahoma" w:cs="Tahoma"/>
          <w:b/>
          <w:i/>
          <w:sz w:val="24"/>
          <w:szCs w:val="24"/>
        </w:rPr>
        <w:t xml:space="preserve"> «Сбыт в Российской Федерации»</w:t>
      </w:r>
      <w:r w:rsidRPr="00254822">
        <w:rPr>
          <w:rFonts w:ascii="Tahoma" w:eastAsia="Times New Roman" w:hAnsi="Tahoma" w:cs="Tahoma"/>
          <w:sz w:val="24"/>
          <w:szCs w:val="24"/>
        </w:rPr>
        <w:t xml:space="preserve"> увеличился на </w:t>
      </w:r>
      <w:r w:rsidR="00254822" w:rsidRPr="00254822">
        <w:rPr>
          <w:rFonts w:ascii="Tahoma" w:eastAsia="Times New Roman" w:hAnsi="Tahoma" w:cs="Tahoma"/>
          <w:sz w:val="24"/>
          <w:szCs w:val="24"/>
        </w:rPr>
        <w:t>10</w:t>
      </w:r>
      <w:r w:rsidRPr="00254822">
        <w:rPr>
          <w:rFonts w:ascii="Tahoma" w:eastAsia="Times New Roman" w:hAnsi="Tahoma" w:cs="Tahoma"/>
          <w:sz w:val="24"/>
          <w:szCs w:val="24"/>
        </w:rPr>
        <w:t>,</w:t>
      </w:r>
      <w:r w:rsidR="00254822" w:rsidRPr="00254822">
        <w:rPr>
          <w:rFonts w:ascii="Tahoma" w:eastAsia="Times New Roman" w:hAnsi="Tahoma" w:cs="Tahoma"/>
          <w:sz w:val="24"/>
          <w:szCs w:val="24"/>
        </w:rPr>
        <w:t>8</w:t>
      </w:r>
      <w:r w:rsidR="00757525" w:rsidRPr="00254822">
        <w:rPr>
          <w:rFonts w:ascii="Tahoma" w:eastAsia="Times New Roman" w:hAnsi="Tahoma" w:cs="Tahoma"/>
          <w:sz w:val="24"/>
          <w:szCs w:val="24"/>
        </w:rPr>
        <w:t xml:space="preserve"> </w:t>
      </w:r>
      <w:r w:rsidRPr="00254822">
        <w:rPr>
          <w:rFonts w:ascii="Tahoma" w:eastAsia="Times New Roman" w:hAnsi="Tahoma" w:cs="Tahoma"/>
          <w:sz w:val="24"/>
          <w:szCs w:val="24"/>
        </w:rPr>
        <w:t>млрд рублей (</w:t>
      </w:r>
      <w:r w:rsidR="00757525" w:rsidRPr="00254822">
        <w:rPr>
          <w:rFonts w:ascii="Tahoma" w:eastAsia="Times New Roman" w:hAnsi="Tahoma" w:cs="Tahoma"/>
          <w:sz w:val="24"/>
          <w:szCs w:val="24"/>
        </w:rPr>
        <w:t>4</w:t>
      </w:r>
      <w:r w:rsidR="00254822" w:rsidRPr="00254822">
        <w:rPr>
          <w:rFonts w:ascii="Tahoma" w:eastAsia="Times New Roman" w:hAnsi="Tahoma" w:cs="Tahoma"/>
          <w:sz w:val="24"/>
          <w:szCs w:val="24"/>
        </w:rPr>
        <w:t>1</w:t>
      </w:r>
      <w:r w:rsidRPr="00254822">
        <w:rPr>
          <w:rFonts w:ascii="Tahoma" w:eastAsia="Times New Roman" w:hAnsi="Tahoma" w:cs="Tahoma"/>
          <w:sz w:val="24"/>
          <w:szCs w:val="24"/>
        </w:rPr>
        <w:t>,</w:t>
      </w:r>
      <w:r w:rsidR="003D065C" w:rsidRPr="00254822">
        <w:rPr>
          <w:rFonts w:ascii="Tahoma" w:eastAsia="Times New Roman" w:hAnsi="Tahoma" w:cs="Tahoma"/>
          <w:sz w:val="24"/>
          <w:szCs w:val="24"/>
        </w:rPr>
        <w:t>1</w:t>
      </w:r>
      <w:r w:rsidRPr="00254822">
        <w:rPr>
          <w:rFonts w:ascii="Tahoma" w:eastAsia="Times New Roman" w:hAnsi="Tahoma" w:cs="Tahoma"/>
          <w:sz w:val="24"/>
          <w:szCs w:val="24"/>
        </w:rPr>
        <w:t xml:space="preserve">%) </w:t>
      </w:r>
      <w:r w:rsidR="00254822" w:rsidRPr="00254822">
        <w:rPr>
          <w:rFonts w:ascii="Tahoma" w:eastAsia="Times New Roman" w:hAnsi="Tahoma" w:cs="Tahoma"/>
          <w:sz w:val="24"/>
          <w:szCs w:val="24"/>
        </w:rPr>
        <w:t>до</w:t>
      </w:r>
      <w:r w:rsidRPr="00254822">
        <w:rPr>
          <w:rFonts w:ascii="Tahoma" w:eastAsia="Times New Roman" w:hAnsi="Tahoma" w:cs="Tahoma"/>
          <w:sz w:val="24"/>
          <w:szCs w:val="24"/>
        </w:rPr>
        <w:t xml:space="preserve"> </w:t>
      </w:r>
      <w:r w:rsidR="00254822" w:rsidRPr="00254822">
        <w:rPr>
          <w:rFonts w:ascii="Tahoma" w:eastAsia="Times New Roman" w:hAnsi="Tahoma" w:cs="Tahoma"/>
          <w:sz w:val="24"/>
          <w:szCs w:val="24"/>
        </w:rPr>
        <w:t>36</w:t>
      </w:r>
      <w:r w:rsidRPr="00254822">
        <w:rPr>
          <w:rFonts w:ascii="Tahoma" w:eastAsia="Times New Roman" w:hAnsi="Tahoma" w:cs="Tahoma"/>
          <w:sz w:val="24"/>
          <w:szCs w:val="24"/>
        </w:rPr>
        <w:t>,</w:t>
      </w:r>
      <w:r w:rsidR="00254822" w:rsidRPr="00254822">
        <w:rPr>
          <w:rFonts w:ascii="Tahoma" w:eastAsia="Times New Roman" w:hAnsi="Tahoma" w:cs="Tahoma"/>
          <w:sz w:val="24"/>
          <w:szCs w:val="24"/>
        </w:rPr>
        <w:t>9</w:t>
      </w:r>
      <w:r w:rsidR="00757525" w:rsidRPr="00254822">
        <w:rPr>
          <w:rFonts w:ascii="Tahoma" w:eastAsia="Times New Roman" w:hAnsi="Tahoma" w:cs="Tahoma"/>
          <w:sz w:val="24"/>
          <w:szCs w:val="24"/>
        </w:rPr>
        <w:t xml:space="preserve"> </w:t>
      </w:r>
      <w:r w:rsidRPr="00254822">
        <w:rPr>
          <w:rFonts w:ascii="Tahoma" w:eastAsia="Times New Roman" w:hAnsi="Tahoma" w:cs="Tahoma"/>
          <w:sz w:val="24"/>
          <w:szCs w:val="24"/>
        </w:rPr>
        <w:t xml:space="preserve">млрд рублей как за счёт </w:t>
      </w:r>
      <w:r w:rsidR="00B73CB6" w:rsidRPr="00254822">
        <w:rPr>
          <w:rFonts w:ascii="Tahoma" w:eastAsia="Times New Roman" w:hAnsi="Tahoma" w:cs="Tahoma"/>
          <w:sz w:val="24"/>
          <w:szCs w:val="24"/>
        </w:rPr>
        <w:t xml:space="preserve">повышения эффективности </w:t>
      </w:r>
      <w:r w:rsidR="00B73CB6" w:rsidRPr="00254822">
        <w:rPr>
          <w:rFonts w:ascii="Tahoma" w:eastAsia="Times New Roman" w:hAnsi="Tahoma" w:cs="Tahoma"/>
          <w:sz w:val="24"/>
          <w:szCs w:val="24"/>
        </w:rPr>
        <w:lastRenderedPageBreak/>
        <w:t xml:space="preserve">операционной деятельности, </w:t>
      </w:r>
      <w:r w:rsidR="00D44177">
        <w:rPr>
          <w:rFonts w:ascii="Tahoma" w:eastAsia="Times New Roman" w:hAnsi="Tahoma" w:cs="Tahoma"/>
          <w:sz w:val="24"/>
          <w:szCs w:val="24"/>
        </w:rPr>
        <w:t>включая</w:t>
      </w:r>
      <w:r w:rsidRPr="00254822">
        <w:rPr>
          <w:rFonts w:ascii="Tahoma" w:eastAsia="Times New Roman" w:hAnsi="Tahoma" w:cs="Tahoma"/>
          <w:sz w:val="24"/>
          <w:szCs w:val="24"/>
        </w:rPr>
        <w:t xml:space="preserve"> </w:t>
      </w:r>
      <w:r w:rsidRPr="00962B61">
        <w:rPr>
          <w:rFonts w:ascii="Tahoma" w:eastAsia="Times New Roman" w:hAnsi="Tahoma" w:cs="Tahoma"/>
          <w:sz w:val="24"/>
          <w:szCs w:val="24"/>
        </w:rPr>
        <w:t>приём на обслуживание новых абонентов</w:t>
      </w:r>
      <w:r w:rsidR="00D44177">
        <w:rPr>
          <w:rFonts w:ascii="Tahoma" w:eastAsia="Times New Roman" w:hAnsi="Tahoma" w:cs="Tahoma"/>
          <w:sz w:val="24"/>
          <w:szCs w:val="24"/>
        </w:rPr>
        <w:t xml:space="preserve"> и </w:t>
      </w:r>
      <w:r w:rsidR="00D44177" w:rsidRPr="00D44177">
        <w:rPr>
          <w:rFonts w:ascii="Tahoma" w:eastAsia="Times New Roman" w:hAnsi="Tahoma" w:cs="Tahoma"/>
          <w:sz w:val="24"/>
          <w:szCs w:val="24"/>
        </w:rPr>
        <w:t>тарифно-балансовы</w:t>
      </w:r>
      <w:r w:rsidR="00D44177">
        <w:rPr>
          <w:rFonts w:ascii="Tahoma" w:eastAsia="Times New Roman" w:hAnsi="Tahoma" w:cs="Tahoma"/>
          <w:sz w:val="24"/>
          <w:szCs w:val="24"/>
        </w:rPr>
        <w:t>м</w:t>
      </w:r>
      <w:r w:rsidR="00D44177" w:rsidRPr="00D44177">
        <w:rPr>
          <w:rFonts w:ascii="Tahoma" w:eastAsia="Times New Roman" w:hAnsi="Tahoma" w:cs="Tahoma"/>
          <w:sz w:val="24"/>
          <w:szCs w:val="24"/>
        </w:rPr>
        <w:t xml:space="preserve"> решени</w:t>
      </w:r>
      <w:r w:rsidR="00D44177">
        <w:rPr>
          <w:rFonts w:ascii="Tahoma" w:eastAsia="Times New Roman" w:hAnsi="Tahoma" w:cs="Tahoma"/>
          <w:sz w:val="24"/>
          <w:szCs w:val="24"/>
        </w:rPr>
        <w:t>ям на 2023 год</w:t>
      </w:r>
      <w:r w:rsidRPr="00962B61">
        <w:rPr>
          <w:rFonts w:ascii="Tahoma" w:eastAsia="Times New Roman" w:hAnsi="Tahoma" w:cs="Tahoma"/>
          <w:sz w:val="24"/>
          <w:szCs w:val="24"/>
        </w:rPr>
        <w:t>.</w:t>
      </w:r>
      <w:r w:rsidRPr="00254822">
        <w:rPr>
          <w:rFonts w:ascii="Tahoma" w:eastAsia="Times New Roman" w:hAnsi="Tahoma" w:cs="Tahoma"/>
          <w:sz w:val="24"/>
          <w:szCs w:val="24"/>
        </w:rPr>
        <w:t xml:space="preserve"> </w:t>
      </w:r>
    </w:p>
    <w:p w:rsidR="008F2B24" w:rsidRPr="00E57CFD" w:rsidRDefault="00C52C4E" w:rsidP="00E57CFD">
      <w:pPr>
        <w:spacing w:before="240" w:after="160" w:line="375" w:lineRule="atLeast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C04651">
        <w:rPr>
          <w:rFonts w:ascii="Tahoma" w:eastAsia="Times New Roman" w:hAnsi="Tahoma" w:cs="Tahoma"/>
          <w:b/>
          <w:i/>
          <w:sz w:val="24"/>
          <w:szCs w:val="24"/>
        </w:rPr>
        <w:t>В сегменте «</w:t>
      </w:r>
      <w:proofErr w:type="spellStart"/>
      <w:r w:rsidRPr="00C04651">
        <w:rPr>
          <w:rFonts w:ascii="Tahoma" w:eastAsia="Times New Roman" w:hAnsi="Tahoma" w:cs="Tahoma"/>
          <w:b/>
          <w:i/>
          <w:sz w:val="24"/>
          <w:szCs w:val="24"/>
        </w:rPr>
        <w:t>Теплогенерация</w:t>
      </w:r>
      <w:proofErr w:type="spellEnd"/>
      <w:r w:rsidRPr="00C04651">
        <w:rPr>
          <w:rFonts w:ascii="Tahoma" w:eastAsia="Times New Roman" w:hAnsi="Tahoma" w:cs="Tahoma"/>
          <w:b/>
          <w:i/>
          <w:sz w:val="24"/>
          <w:szCs w:val="24"/>
        </w:rPr>
        <w:t xml:space="preserve"> в Российской Федерации»</w:t>
      </w:r>
      <w:r w:rsidRPr="00C04651">
        <w:rPr>
          <w:rFonts w:ascii="Tahoma" w:eastAsia="Times New Roman" w:hAnsi="Tahoma" w:cs="Tahoma"/>
          <w:sz w:val="24"/>
          <w:szCs w:val="24"/>
        </w:rPr>
        <w:t xml:space="preserve"> показатель EBITDA увеличился на </w:t>
      </w:r>
      <w:r w:rsidR="00C04651" w:rsidRPr="00C04651">
        <w:rPr>
          <w:rFonts w:ascii="Tahoma" w:eastAsia="Times New Roman" w:hAnsi="Tahoma" w:cs="Tahoma"/>
          <w:sz w:val="24"/>
          <w:szCs w:val="24"/>
        </w:rPr>
        <w:t>0</w:t>
      </w:r>
      <w:r w:rsidRPr="00C04651">
        <w:rPr>
          <w:rFonts w:ascii="Tahoma" w:eastAsia="Times New Roman" w:hAnsi="Tahoma" w:cs="Tahoma"/>
          <w:sz w:val="24"/>
          <w:szCs w:val="24"/>
        </w:rPr>
        <w:t>,</w:t>
      </w:r>
      <w:r w:rsidR="00C04651" w:rsidRPr="00C04651">
        <w:rPr>
          <w:rFonts w:ascii="Tahoma" w:eastAsia="Times New Roman" w:hAnsi="Tahoma" w:cs="Tahoma"/>
          <w:sz w:val="24"/>
          <w:szCs w:val="24"/>
        </w:rPr>
        <w:t>7</w:t>
      </w:r>
      <w:r w:rsidRPr="00C04651">
        <w:rPr>
          <w:rFonts w:ascii="Tahoma" w:eastAsia="Times New Roman" w:hAnsi="Tahoma" w:cs="Tahoma"/>
          <w:sz w:val="24"/>
          <w:szCs w:val="24"/>
        </w:rPr>
        <w:t xml:space="preserve"> млрд рублей, или </w:t>
      </w:r>
      <w:r w:rsidR="00C04651" w:rsidRPr="00C04651">
        <w:rPr>
          <w:rFonts w:ascii="Tahoma" w:eastAsia="Times New Roman" w:hAnsi="Tahoma" w:cs="Tahoma"/>
          <w:sz w:val="24"/>
          <w:szCs w:val="24"/>
        </w:rPr>
        <w:t>4</w:t>
      </w:r>
      <w:r w:rsidRPr="00C04651">
        <w:rPr>
          <w:rFonts w:ascii="Tahoma" w:eastAsia="Times New Roman" w:hAnsi="Tahoma" w:cs="Tahoma"/>
          <w:sz w:val="24"/>
          <w:szCs w:val="24"/>
        </w:rPr>
        <w:t>,</w:t>
      </w:r>
      <w:r w:rsidR="00C04651" w:rsidRPr="00C04651">
        <w:rPr>
          <w:rFonts w:ascii="Tahoma" w:eastAsia="Times New Roman" w:hAnsi="Tahoma" w:cs="Tahoma"/>
          <w:sz w:val="24"/>
          <w:szCs w:val="24"/>
        </w:rPr>
        <w:t>5</w:t>
      </w:r>
      <w:r w:rsidRPr="00C04651">
        <w:rPr>
          <w:rFonts w:ascii="Tahoma" w:eastAsia="Times New Roman" w:hAnsi="Tahoma" w:cs="Tahoma"/>
          <w:sz w:val="24"/>
          <w:szCs w:val="24"/>
        </w:rPr>
        <w:t>%</w:t>
      </w:r>
      <w:r w:rsidR="001D2811" w:rsidRPr="00C04651">
        <w:rPr>
          <w:rFonts w:ascii="Tahoma" w:eastAsia="Times New Roman" w:hAnsi="Tahoma" w:cs="Tahoma"/>
          <w:sz w:val="24"/>
          <w:szCs w:val="24"/>
        </w:rPr>
        <w:t>, до 15,</w:t>
      </w:r>
      <w:r w:rsidR="00C04651" w:rsidRPr="00C04651">
        <w:rPr>
          <w:rFonts w:ascii="Tahoma" w:eastAsia="Times New Roman" w:hAnsi="Tahoma" w:cs="Tahoma"/>
          <w:sz w:val="24"/>
          <w:szCs w:val="24"/>
        </w:rPr>
        <w:t>2</w:t>
      </w:r>
      <w:r w:rsidR="001D2811" w:rsidRPr="00C04651">
        <w:rPr>
          <w:rFonts w:ascii="Tahoma" w:eastAsia="Times New Roman" w:hAnsi="Tahoma" w:cs="Tahoma"/>
          <w:sz w:val="24"/>
          <w:szCs w:val="24"/>
        </w:rPr>
        <w:t xml:space="preserve"> млрд рублей</w:t>
      </w:r>
      <w:r w:rsidRPr="00C04651">
        <w:rPr>
          <w:rFonts w:ascii="Tahoma" w:eastAsia="Times New Roman" w:hAnsi="Tahoma" w:cs="Tahoma"/>
          <w:sz w:val="24"/>
          <w:szCs w:val="24"/>
        </w:rPr>
        <w:t>. Положительное влияние оказала ин</w:t>
      </w:r>
      <w:r w:rsidRPr="008F2B24">
        <w:rPr>
          <w:rFonts w:ascii="Tahoma" w:eastAsia="Times New Roman" w:hAnsi="Tahoma" w:cs="Tahoma"/>
          <w:sz w:val="24"/>
          <w:szCs w:val="24"/>
        </w:rPr>
        <w:t xml:space="preserve">дексация тарифов на тепловую энергию, а также рост тарифа ДПМ </w:t>
      </w:r>
      <w:proofErr w:type="spellStart"/>
      <w:r w:rsidRPr="008F2B24">
        <w:rPr>
          <w:rFonts w:ascii="Tahoma" w:eastAsia="Times New Roman" w:hAnsi="Tahoma" w:cs="Tahoma"/>
          <w:sz w:val="24"/>
          <w:szCs w:val="24"/>
        </w:rPr>
        <w:t>Затонской</w:t>
      </w:r>
      <w:proofErr w:type="spellEnd"/>
      <w:r w:rsidRPr="008F2B24">
        <w:rPr>
          <w:rFonts w:ascii="Tahoma" w:eastAsia="Times New Roman" w:hAnsi="Tahoma" w:cs="Tahoma"/>
          <w:sz w:val="24"/>
          <w:szCs w:val="24"/>
        </w:rPr>
        <w:t xml:space="preserve"> ТЭЦ</w:t>
      </w:r>
      <w:r w:rsidR="008F2B24" w:rsidRPr="008F2B24">
        <w:rPr>
          <w:rFonts w:ascii="Tahoma" w:eastAsia="Times New Roman" w:hAnsi="Tahoma" w:cs="Tahoma"/>
          <w:sz w:val="24"/>
          <w:szCs w:val="24"/>
        </w:rPr>
        <w:t xml:space="preserve"> </w:t>
      </w:r>
      <w:bookmarkStart w:id="2" w:name="_Hlk133411406"/>
      <w:r w:rsidR="008F2B24" w:rsidRPr="00E57CFD">
        <w:rPr>
          <w:rFonts w:ascii="Tahoma" w:eastAsia="Times New Roman" w:hAnsi="Tahoma" w:cs="Tahoma"/>
          <w:sz w:val="24"/>
          <w:szCs w:val="24"/>
        </w:rPr>
        <w:t xml:space="preserve">и начало поставки мощности после модернизации энергоблока №3 </w:t>
      </w:r>
      <w:proofErr w:type="spellStart"/>
      <w:r w:rsidR="008F2B24" w:rsidRPr="00E57CFD">
        <w:rPr>
          <w:rFonts w:ascii="Tahoma" w:eastAsia="Times New Roman" w:hAnsi="Tahoma" w:cs="Tahoma"/>
          <w:sz w:val="24"/>
          <w:szCs w:val="24"/>
        </w:rPr>
        <w:t>Кармановской</w:t>
      </w:r>
      <w:proofErr w:type="spellEnd"/>
      <w:r w:rsidR="008F2B24" w:rsidRPr="00E57CFD">
        <w:rPr>
          <w:rFonts w:ascii="Tahoma" w:eastAsia="Times New Roman" w:hAnsi="Tahoma" w:cs="Tahoma"/>
          <w:sz w:val="24"/>
          <w:szCs w:val="24"/>
        </w:rPr>
        <w:t xml:space="preserve"> ГРЭС в рамках реализации проекта </w:t>
      </w:r>
      <w:proofErr w:type="spellStart"/>
      <w:r w:rsidR="008F2B24" w:rsidRPr="00E57CFD">
        <w:rPr>
          <w:rFonts w:ascii="Tahoma" w:eastAsia="Times New Roman" w:hAnsi="Tahoma" w:cs="Tahoma"/>
          <w:sz w:val="24"/>
          <w:szCs w:val="24"/>
        </w:rPr>
        <w:t>КОММод</w:t>
      </w:r>
      <w:bookmarkEnd w:id="2"/>
      <w:proofErr w:type="spellEnd"/>
      <w:r w:rsidR="008F2B24" w:rsidRPr="00E57CFD">
        <w:rPr>
          <w:rFonts w:ascii="Tahoma" w:eastAsia="Times New Roman" w:hAnsi="Tahoma" w:cs="Tahoma"/>
          <w:sz w:val="24"/>
          <w:szCs w:val="24"/>
        </w:rPr>
        <w:t>.</w:t>
      </w:r>
      <w:r w:rsidR="00E57CFD">
        <w:rPr>
          <w:rFonts w:ascii="Tahoma" w:eastAsia="Times New Roman" w:hAnsi="Tahoma" w:cs="Tahoma"/>
          <w:sz w:val="24"/>
          <w:szCs w:val="24"/>
        </w:rPr>
        <w:t xml:space="preserve"> </w:t>
      </w:r>
      <w:r w:rsidR="00AD6C76">
        <w:rPr>
          <w:rFonts w:ascii="Tahoma" w:eastAsia="Times New Roman" w:hAnsi="Tahoma" w:cs="Tahoma"/>
          <w:sz w:val="24"/>
          <w:szCs w:val="24"/>
        </w:rPr>
        <w:t xml:space="preserve">Частично нивелирующим рост показателя фактором стало </w:t>
      </w:r>
      <w:r w:rsidR="00AD6C76" w:rsidRPr="00AD6C76">
        <w:rPr>
          <w:rFonts w:ascii="Tahoma" w:eastAsia="Times New Roman" w:hAnsi="Tahoma" w:cs="Tahoma"/>
          <w:sz w:val="24"/>
          <w:szCs w:val="24"/>
        </w:rPr>
        <w:t xml:space="preserve">окончание действия договора ДПМ по ПГУ-90 </w:t>
      </w:r>
      <w:r w:rsidR="008159D6">
        <w:rPr>
          <w:rFonts w:ascii="Tahoma" w:eastAsia="Times New Roman" w:hAnsi="Tahoma" w:cs="Tahoma"/>
          <w:sz w:val="24"/>
          <w:szCs w:val="24"/>
        </w:rPr>
        <w:t xml:space="preserve">Омской </w:t>
      </w:r>
      <w:r w:rsidR="00AD6C76" w:rsidRPr="00AD6C76">
        <w:rPr>
          <w:rFonts w:ascii="Tahoma" w:eastAsia="Times New Roman" w:hAnsi="Tahoma" w:cs="Tahoma"/>
          <w:sz w:val="24"/>
          <w:szCs w:val="24"/>
        </w:rPr>
        <w:t>ТЭЦ-3 и переводом мощности в КОМ с 01.01.2023 в совокупности с</w:t>
      </w:r>
      <w:r w:rsidR="00AD6C76">
        <w:rPr>
          <w:rFonts w:ascii="Arial" w:hAnsi="Arial"/>
          <w:sz w:val="18"/>
        </w:rPr>
        <w:t xml:space="preserve"> </w:t>
      </w:r>
      <w:r w:rsidR="00AD6C76" w:rsidRPr="00C04651">
        <w:rPr>
          <w:rFonts w:ascii="Tahoma" w:eastAsia="Times New Roman" w:hAnsi="Tahoma" w:cs="Tahoma"/>
          <w:sz w:val="24"/>
          <w:szCs w:val="24"/>
        </w:rPr>
        <w:t>рост</w:t>
      </w:r>
      <w:r w:rsidR="00AD6C76">
        <w:rPr>
          <w:rFonts w:ascii="Tahoma" w:eastAsia="Times New Roman" w:hAnsi="Tahoma" w:cs="Tahoma"/>
          <w:sz w:val="24"/>
          <w:szCs w:val="24"/>
        </w:rPr>
        <w:t>ом</w:t>
      </w:r>
      <w:r w:rsidR="00AD6C76" w:rsidRPr="00C04651">
        <w:rPr>
          <w:rFonts w:ascii="Tahoma" w:eastAsia="Times New Roman" w:hAnsi="Tahoma" w:cs="Tahoma"/>
          <w:sz w:val="24"/>
          <w:szCs w:val="24"/>
        </w:rPr>
        <w:t xml:space="preserve"> цен на топлив</w:t>
      </w:r>
      <w:r w:rsidR="00AD6C76" w:rsidRPr="00F52E3A">
        <w:rPr>
          <w:rFonts w:ascii="Tahoma" w:eastAsia="Times New Roman" w:hAnsi="Tahoma" w:cs="Tahoma"/>
          <w:sz w:val="24"/>
          <w:szCs w:val="24"/>
        </w:rPr>
        <w:t>о, опережающи</w:t>
      </w:r>
      <w:r w:rsidR="00AD6C76">
        <w:rPr>
          <w:rFonts w:ascii="Tahoma" w:eastAsia="Times New Roman" w:hAnsi="Tahoma" w:cs="Tahoma"/>
          <w:sz w:val="24"/>
          <w:szCs w:val="24"/>
        </w:rPr>
        <w:t>м</w:t>
      </w:r>
      <w:r w:rsidR="00AD6C76" w:rsidRPr="00F52E3A">
        <w:rPr>
          <w:rFonts w:ascii="Tahoma" w:eastAsia="Times New Roman" w:hAnsi="Tahoma" w:cs="Tahoma"/>
          <w:sz w:val="24"/>
          <w:szCs w:val="24"/>
        </w:rPr>
        <w:t xml:space="preserve"> динамику цен на РСВ</w:t>
      </w:r>
      <w:r w:rsidR="00AD6C76">
        <w:rPr>
          <w:rFonts w:ascii="Tahoma" w:eastAsia="Times New Roman" w:hAnsi="Tahoma" w:cs="Tahoma"/>
          <w:sz w:val="24"/>
          <w:szCs w:val="24"/>
        </w:rPr>
        <w:t>.</w:t>
      </w:r>
    </w:p>
    <w:p w:rsidR="00E027DA" w:rsidRPr="00F52E3A" w:rsidRDefault="008F2B24">
      <w:pPr>
        <w:spacing w:before="100" w:beforeAutospacing="1" w:after="375" w:line="375" w:lineRule="atLeast"/>
        <w:jc w:val="both"/>
        <w:rPr>
          <w:rFonts w:ascii="Tahoma" w:eastAsia="Times New Roman" w:hAnsi="Tahoma" w:cs="Tahoma"/>
          <w:sz w:val="24"/>
          <w:szCs w:val="24"/>
        </w:rPr>
      </w:pPr>
      <w:r w:rsidRPr="00C04651">
        <w:rPr>
          <w:rFonts w:ascii="Tahoma" w:eastAsia="Times New Roman" w:hAnsi="Tahoma" w:cs="Tahoma"/>
          <w:b/>
          <w:i/>
          <w:sz w:val="24"/>
          <w:szCs w:val="24"/>
        </w:rPr>
        <w:t>В</w:t>
      </w:r>
      <w:r w:rsidR="00C52C4E" w:rsidRPr="00C04651">
        <w:rPr>
          <w:rFonts w:ascii="Tahoma" w:eastAsia="Times New Roman" w:hAnsi="Tahoma" w:cs="Tahoma"/>
          <w:b/>
          <w:i/>
          <w:sz w:val="24"/>
          <w:szCs w:val="24"/>
        </w:rPr>
        <w:t xml:space="preserve"> сегменте «</w:t>
      </w:r>
      <w:proofErr w:type="spellStart"/>
      <w:r w:rsidR="00C52C4E" w:rsidRPr="00C04651">
        <w:rPr>
          <w:rFonts w:ascii="Tahoma" w:eastAsia="Times New Roman" w:hAnsi="Tahoma" w:cs="Tahoma"/>
          <w:b/>
          <w:i/>
          <w:sz w:val="24"/>
          <w:szCs w:val="24"/>
        </w:rPr>
        <w:t>Электрогенерация</w:t>
      </w:r>
      <w:proofErr w:type="spellEnd"/>
      <w:r w:rsidR="00C52C4E" w:rsidRPr="00C04651">
        <w:rPr>
          <w:rFonts w:ascii="Tahoma" w:eastAsia="Times New Roman" w:hAnsi="Tahoma" w:cs="Tahoma"/>
          <w:b/>
          <w:i/>
          <w:sz w:val="24"/>
          <w:szCs w:val="24"/>
        </w:rPr>
        <w:t xml:space="preserve"> в Российской Федерации»</w:t>
      </w:r>
      <w:r w:rsidR="00C52C4E" w:rsidRPr="00C04651">
        <w:rPr>
          <w:rFonts w:ascii="Tahoma" w:eastAsia="Times New Roman" w:hAnsi="Tahoma" w:cs="Tahoma"/>
          <w:sz w:val="24"/>
          <w:szCs w:val="24"/>
        </w:rPr>
        <w:t xml:space="preserve"> показатель EBITDA снизился на </w:t>
      </w:r>
      <w:r w:rsidR="00757525" w:rsidRPr="00C04651">
        <w:rPr>
          <w:rFonts w:ascii="Tahoma" w:eastAsia="Times New Roman" w:hAnsi="Tahoma" w:cs="Tahoma"/>
          <w:sz w:val="24"/>
          <w:szCs w:val="24"/>
        </w:rPr>
        <w:t>2</w:t>
      </w:r>
      <w:r w:rsidR="00C52C4E" w:rsidRPr="00C04651">
        <w:rPr>
          <w:rFonts w:ascii="Tahoma" w:eastAsia="Times New Roman" w:hAnsi="Tahoma" w:cs="Tahoma"/>
          <w:sz w:val="24"/>
          <w:szCs w:val="24"/>
        </w:rPr>
        <w:t>,</w:t>
      </w:r>
      <w:r w:rsidR="00C04651" w:rsidRPr="00C04651">
        <w:rPr>
          <w:rFonts w:ascii="Tahoma" w:eastAsia="Times New Roman" w:hAnsi="Tahoma" w:cs="Tahoma"/>
          <w:sz w:val="24"/>
          <w:szCs w:val="24"/>
        </w:rPr>
        <w:t>6</w:t>
      </w:r>
      <w:r w:rsidR="00C52C4E" w:rsidRPr="00C04651">
        <w:rPr>
          <w:rFonts w:ascii="Tahoma" w:eastAsia="Times New Roman" w:hAnsi="Tahoma" w:cs="Tahoma"/>
          <w:sz w:val="24"/>
          <w:szCs w:val="24"/>
        </w:rPr>
        <w:t xml:space="preserve"> млрд рублей (</w:t>
      </w:r>
      <w:r w:rsidR="00C04651" w:rsidRPr="00C04651">
        <w:rPr>
          <w:rFonts w:ascii="Tahoma" w:eastAsia="Times New Roman" w:hAnsi="Tahoma" w:cs="Tahoma"/>
          <w:sz w:val="24"/>
          <w:szCs w:val="24"/>
        </w:rPr>
        <w:t>-4</w:t>
      </w:r>
      <w:r w:rsidR="00C52C4E" w:rsidRPr="00C04651">
        <w:rPr>
          <w:rFonts w:ascii="Tahoma" w:eastAsia="Times New Roman" w:hAnsi="Tahoma" w:cs="Tahoma"/>
          <w:sz w:val="24"/>
          <w:szCs w:val="24"/>
        </w:rPr>
        <w:t>,</w:t>
      </w:r>
      <w:r w:rsidR="00C04651" w:rsidRPr="00C04651">
        <w:rPr>
          <w:rFonts w:ascii="Tahoma" w:eastAsia="Times New Roman" w:hAnsi="Tahoma" w:cs="Tahoma"/>
          <w:sz w:val="24"/>
          <w:szCs w:val="24"/>
        </w:rPr>
        <w:t>3</w:t>
      </w:r>
      <w:r w:rsidR="00C52C4E" w:rsidRPr="00C04651">
        <w:rPr>
          <w:rFonts w:ascii="Tahoma" w:eastAsia="Times New Roman" w:hAnsi="Tahoma" w:cs="Tahoma"/>
          <w:sz w:val="24"/>
          <w:szCs w:val="24"/>
        </w:rPr>
        <w:t xml:space="preserve">%), до </w:t>
      </w:r>
      <w:r w:rsidR="00C04651" w:rsidRPr="00C04651">
        <w:rPr>
          <w:rFonts w:ascii="Tahoma" w:eastAsia="Times New Roman" w:hAnsi="Tahoma" w:cs="Tahoma"/>
          <w:sz w:val="24"/>
          <w:szCs w:val="24"/>
        </w:rPr>
        <w:t>58</w:t>
      </w:r>
      <w:r w:rsidR="00C52C4E" w:rsidRPr="00C04651">
        <w:rPr>
          <w:rFonts w:ascii="Tahoma" w:eastAsia="Times New Roman" w:hAnsi="Tahoma" w:cs="Tahoma"/>
          <w:sz w:val="24"/>
          <w:szCs w:val="24"/>
        </w:rPr>
        <w:t>,</w:t>
      </w:r>
      <w:r w:rsidR="00757525" w:rsidRPr="00C04651">
        <w:rPr>
          <w:rFonts w:ascii="Tahoma" w:eastAsia="Times New Roman" w:hAnsi="Tahoma" w:cs="Tahoma"/>
          <w:sz w:val="24"/>
          <w:szCs w:val="24"/>
        </w:rPr>
        <w:t xml:space="preserve">1 </w:t>
      </w:r>
      <w:r w:rsidR="00C52C4E" w:rsidRPr="00C04651">
        <w:rPr>
          <w:rFonts w:ascii="Tahoma" w:eastAsia="Times New Roman" w:hAnsi="Tahoma" w:cs="Tahoma"/>
          <w:sz w:val="24"/>
          <w:szCs w:val="24"/>
        </w:rPr>
        <w:t xml:space="preserve">млрд рублей. Основной причиной стало окончание действия договоров ДПМ Уренгойской ГРЭС, Южноуральской ГРЭС и </w:t>
      </w:r>
      <w:proofErr w:type="spellStart"/>
      <w:r w:rsidR="00C52C4E" w:rsidRPr="00C04651">
        <w:rPr>
          <w:rFonts w:ascii="Tahoma" w:eastAsia="Times New Roman" w:hAnsi="Tahoma" w:cs="Tahoma"/>
          <w:sz w:val="24"/>
          <w:szCs w:val="24"/>
        </w:rPr>
        <w:t>Черепетской</w:t>
      </w:r>
      <w:proofErr w:type="spellEnd"/>
      <w:r w:rsidR="00C52C4E" w:rsidRPr="00C04651">
        <w:rPr>
          <w:rFonts w:ascii="Tahoma" w:eastAsia="Times New Roman" w:hAnsi="Tahoma" w:cs="Tahoma"/>
          <w:sz w:val="24"/>
          <w:szCs w:val="24"/>
        </w:rPr>
        <w:t xml:space="preserve"> ГРЭС, а также рост цен на топлив</w:t>
      </w:r>
      <w:r w:rsidR="00C52C4E" w:rsidRPr="00F52E3A">
        <w:rPr>
          <w:rFonts w:ascii="Tahoma" w:eastAsia="Times New Roman" w:hAnsi="Tahoma" w:cs="Tahoma"/>
          <w:sz w:val="24"/>
          <w:szCs w:val="24"/>
        </w:rPr>
        <w:t xml:space="preserve">о, опережающий динамику цен на РСВ. </w:t>
      </w:r>
    </w:p>
    <w:p w:rsidR="00E027DA" w:rsidRPr="00F52E3A" w:rsidRDefault="00C52C4E">
      <w:pPr>
        <w:spacing w:before="100" w:beforeAutospacing="1" w:after="375" w:line="375" w:lineRule="atLeast"/>
        <w:jc w:val="both"/>
        <w:rPr>
          <w:rFonts w:ascii="Tahoma" w:eastAsia="Times New Roman" w:hAnsi="Tahoma" w:cs="Tahoma"/>
          <w:sz w:val="24"/>
          <w:szCs w:val="24"/>
        </w:rPr>
      </w:pPr>
      <w:r w:rsidRPr="00F52E3A">
        <w:rPr>
          <w:rFonts w:ascii="Tahoma" w:eastAsia="Times New Roman" w:hAnsi="Tahoma" w:cs="Tahoma"/>
          <w:sz w:val="24"/>
          <w:szCs w:val="24"/>
        </w:rPr>
        <w:t>Показатель EBITDA</w:t>
      </w:r>
      <w:r w:rsidRPr="00F52E3A">
        <w:rPr>
          <w:rFonts w:ascii="Tahoma" w:eastAsia="Times New Roman" w:hAnsi="Tahoma" w:cs="Tahoma"/>
          <w:b/>
          <w:i/>
          <w:sz w:val="24"/>
          <w:szCs w:val="24"/>
        </w:rPr>
        <w:t xml:space="preserve"> сегмента «Инжиниринг» </w:t>
      </w:r>
      <w:r w:rsidRPr="00F52E3A">
        <w:rPr>
          <w:rFonts w:ascii="Tahoma" w:eastAsia="Times New Roman" w:hAnsi="Tahoma" w:cs="Tahoma"/>
          <w:sz w:val="24"/>
          <w:szCs w:val="24"/>
        </w:rPr>
        <w:t xml:space="preserve">по сравнению с итогами сопоставимого периода </w:t>
      </w:r>
      <w:r w:rsidR="00B73CB6" w:rsidRPr="00F52E3A">
        <w:rPr>
          <w:rFonts w:ascii="Tahoma" w:eastAsia="Times New Roman" w:hAnsi="Tahoma" w:cs="Tahoma"/>
          <w:sz w:val="24"/>
          <w:szCs w:val="24"/>
        </w:rPr>
        <w:t xml:space="preserve">увеличился </w:t>
      </w:r>
      <w:r w:rsidRPr="00F52E3A">
        <w:rPr>
          <w:rFonts w:ascii="Tahoma" w:eastAsia="Times New Roman" w:hAnsi="Tahoma" w:cs="Tahoma"/>
          <w:sz w:val="24"/>
          <w:szCs w:val="24"/>
        </w:rPr>
        <w:t xml:space="preserve">на </w:t>
      </w:r>
      <w:r w:rsidR="00F52E3A" w:rsidRPr="00F52E3A">
        <w:rPr>
          <w:rFonts w:ascii="Tahoma" w:eastAsia="Times New Roman" w:hAnsi="Tahoma" w:cs="Tahoma"/>
          <w:sz w:val="24"/>
          <w:szCs w:val="24"/>
        </w:rPr>
        <w:t>5</w:t>
      </w:r>
      <w:r w:rsidRPr="00F52E3A">
        <w:rPr>
          <w:rFonts w:ascii="Tahoma" w:eastAsia="Times New Roman" w:hAnsi="Tahoma" w:cs="Tahoma"/>
          <w:sz w:val="24"/>
          <w:szCs w:val="24"/>
        </w:rPr>
        <w:t>,</w:t>
      </w:r>
      <w:r w:rsidR="00F52E3A" w:rsidRPr="00F52E3A">
        <w:rPr>
          <w:rFonts w:ascii="Tahoma" w:eastAsia="Times New Roman" w:hAnsi="Tahoma" w:cs="Tahoma"/>
          <w:sz w:val="24"/>
          <w:szCs w:val="24"/>
        </w:rPr>
        <w:t>8</w:t>
      </w:r>
      <w:r w:rsidR="00757525" w:rsidRPr="00F52E3A">
        <w:rPr>
          <w:rFonts w:ascii="Tahoma" w:eastAsia="Times New Roman" w:hAnsi="Tahoma" w:cs="Tahoma"/>
          <w:sz w:val="24"/>
          <w:szCs w:val="24"/>
        </w:rPr>
        <w:t xml:space="preserve"> </w:t>
      </w:r>
      <w:r w:rsidRPr="00F52E3A">
        <w:rPr>
          <w:rFonts w:ascii="Tahoma" w:eastAsia="Times New Roman" w:hAnsi="Tahoma" w:cs="Tahoma"/>
          <w:sz w:val="24"/>
          <w:szCs w:val="24"/>
        </w:rPr>
        <w:t>млрд рублей</w:t>
      </w:r>
      <w:r w:rsidR="006F74EE" w:rsidRPr="00F52E3A">
        <w:rPr>
          <w:rFonts w:ascii="Tahoma" w:eastAsia="Times New Roman" w:hAnsi="Tahoma" w:cs="Tahoma"/>
          <w:sz w:val="24"/>
          <w:szCs w:val="24"/>
        </w:rPr>
        <w:t xml:space="preserve">. Компании сегмента </w:t>
      </w:r>
      <w:r w:rsidRPr="00F52E3A">
        <w:rPr>
          <w:rFonts w:ascii="Tahoma" w:eastAsia="Times New Roman" w:hAnsi="Tahoma" w:cs="Tahoma"/>
          <w:sz w:val="24"/>
          <w:szCs w:val="24"/>
        </w:rPr>
        <w:t>осуществляю</w:t>
      </w:r>
      <w:r w:rsidR="006F74EE" w:rsidRPr="00F52E3A">
        <w:rPr>
          <w:rFonts w:ascii="Tahoma" w:eastAsia="Times New Roman" w:hAnsi="Tahoma" w:cs="Tahoma"/>
          <w:sz w:val="24"/>
          <w:szCs w:val="24"/>
        </w:rPr>
        <w:t>т</w:t>
      </w:r>
      <w:r w:rsidRPr="00F52E3A">
        <w:rPr>
          <w:rFonts w:ascii="Tahoma" w:eastAsia="Times New Roman" w:hAnsi="Tahoma" w:cs="Tahoma"/>
          <w:sz w:val="24"/>
          <w:szCs w:val="24"/>
        </w:rPr>
        <w:t xml:space="preserve"> </w:t>
      </w:r>
      <w:r w:rsidR="008A7928" w:rsidRPr="00323F47">
        <w:rPr>
          <w:rFonts w:ascii="Tahoma" w:eastAsia="Times New Roman" w:hAnsi="Tahoma" w:cs="Tahoma"/>
          <w:sz w:val="24"/>
          <w:szCs w:val="24"/>
        </w:rPr>
        <w:t>новы</w:t>
      </w:r>
      <w:r w:rsidR="008A7928">
        <w:rPr>
          <w:rFonts w:ascii="Tahoma" w:eastAsia="Times New Roman" w:hAnsi="Tahoma" w:cs="Tahoma"/>
          <w:sz w:val="24"/>
          <w:szCs w:val="24"/>
        </w:rPr>
        <w:t>е</w:t>
      </w:r>
      <w:r w:rsidR="008A7928" w:rsidRPr="00323F47">
        <w:rPr>
          <w:rFonts w:ascii="Tahoma" w:eastAsia="Times New Roman" w:hAnsi="Tahoma" w:cs="Tahoma"/>
          <w:sz w:val="24"/>
          <w:szCs w:val="24"/>
        </w:rPr>
        <w:t xml:space="preserve"> инфраструктурны</w:t>
      </w:r>
      <w:r w:rsidR="008A7928">
        <w:rPr>
          <w:rFonts w:ascii="Tahoma" w:eastAsia="Times New Roman" w:hAnsi="Tahoma" w:cs="Tahoma"/>
          <w:sz w:val="24"/>
          <w:szCs w:val="24"/>
        </w:rPr>
        <w:t>е</w:t>
      </w:r>
      <w:r w:rsidR="008A7928" w:rsidRPr="00323F47">
        <w:rPr>
          <w:rFonts w:ascii="Tahoma" w:eastAsia="Times New Roman" w:hAnsi="Tahoma" w:cs="Tahoma"/>
          <w:sz w:val="24"/>
          <w:szCs w:val="24"/>
        </w:rPr>
        <w:t xml:space="preserve"> проект</w:t>
      </w:r>
      <w:r w:rsidR="008A7928">
        <w:rPr>
          <w:rFonts w:ascii="Tahoma" w:eastAsia="Times New Roman" w:hAnsi="Tahoma" w:cs="Tahoma"/>
          <w:sz w:val="24"/>
          <w:szCs w:val="24"/>
        </w:rPr>
        <w:t>ы</w:t>
      </w:r>
      <w:r w:rsidR="008A7928" w:rsidRPr="00323F47">
        <w:rPr>
          <w:rFonts w:ascii="Tahoma" w:eastAsia="Times New Roman" w:hAnsi="Tahoma" w:cs="Tahoma"/>
          <w:sz w:val="24"/>
          <w:szCs w:val="24"/>
        </w:rPr>
        <w:t xml:space="preserve"> для электросетевого комплекса Российской Федерации</w:t>
      </w:r>
      <w:r w:rsidRPr="00F52E3A">
        <w:rPr>
          <w:rFonts w:ascii="Tahoma" w:eastAsia="Times New Roman" w:hAnsi="Tahoma" w:cs="Tahoma"/>
          <w:sz w:val="24"/>
          <w:szCs w:val="24"/>
        </w:rPr>
        <w:t>.</w:t>
      </w:r>
    </w:p>
    <w:p w:rsidR="00C4112B" w:rsidRPr="008F2B24" w:rsidRDefault="00C4112B">
      <w:pPr>
        <w:spacing w:before="100" w:beforeAutospacing="1" w:after="375" w:line="375" w:lineRule="atLeast"/>
        <w:jc w:val="both"/>
        <w:rPr>
          <w:rFonts w:ascii="Tahoma" w:eastAsia="Times New Roman" w:hAnsi="Tahoma" w:cs="Tahoma"/>
          <w:sz w:val="24"/>
          <w:szCs w:val="24"/>
        </w:rPr>
      </w:pPr>
      <w:r w:rsidRPr="008F2B24">
        <w:rPr>
          <w:rFonts w:ascii="Tahoma" w:eastAsia="Times New Roman" w:hAnsi="Tahoma" w:cs="Tahoma"/>
          <w:sz w:val="24"/>
          <w:szCs w:val="24"/>
        </w:rPr>
        <w:t xml:space="preserve">Вклад в показатель </w:t>
      </w:r>
      <w:r w:rsidRPr="008F2B24">
        <w:rPr>
          <w:rFonts w:ascii="Tahoma" w:eastAsia="Times New Roman" w:hAnsi="Tahoma" w:cs="Tahoma"/>
          <w:sz w:val="24"/>
          <w:szCs w:val="24"/>
          <w:lang w:val="en-US"/>
        </w:rPr>
        <w:t>EBITDA</w:t>
      </w:r>
      <w:r w:rsidRPr="008F2B24">
        <w:rPr>
          <w:rFonts w:ascii="Tahoma" w:eastAsia="Times New Roman" w:hAnsi="Tahoma" w:cs="Tahoma"/>
          <w:sz w:val="24"/>
          <w:szCs w:val="24"/>
        </w:rPr>
        <w:t xml:space="preserve"> со стороны </w:t>
      </w:r>
      <w:r w:rsidRPr="008F2B24">
        <w:rPr>
          <w:rFonts w:ascii="Tahoma" w:eastAsia="Times New Roman" w:hAnsi="Tahoma" w:cs="Tahoma"/>
          <w:b/>
          <w:i/>
          <w:sz w:val="24"/>
          <w:szCs w:val="24"/>
        </w:rPr>
        <w:t>сегмента «Энергомашиностроение»</w:t>
      </w:r>
      <w:r w:rsidRPr="008F2B24">
        <w:rPr>
          <w:rFonts w:ascii="Tahoma" w:eastAsia="Times New Roman" w:hAnsi="Tahoma" w:cs="Tahoma"/>
          <w:sz w:val="24"/>
          <w:szCs w:val="24"/>
        </w:rPr>
        <w:t xml:space="preserve"> </w:t>
      </w:r>
      <w:r w:rsidR="00A02416" w:rsidRPr="008F2B24">
        <w:rPr>
          <w:rFonts w:ascii="Tahoma" w:eastAsia="Times New Roman" w:hAnsi="Tahoma" w:cs="Tahoma"/>
          <w:sz w:val="24"/>
          <w:szCs w:val="24"/>
        </w:rPr>
        <w:t xml:space="preserve">за </w:t>
      </w:r>
      <w:r w:rsidR="00F52E3A" w:rsidRPr="008F2B24">
        <w:rPr>
          <w:rFonts w:ascii="Tahoma" w:eastAsia="Times New Roman" w:hAnsi="Tahoma" w:cs="Tahoma"/>
          <w:sz w:val="24"/>
          <w:szCs w:val="24"/>
        </w:rPr>
        <w:t xml:space="preserve">9 месяцев </w:t>
      </w:r>
      <w:r w:rsidR="00A02416" w:rsidRPr="008F2B24">
        <w:rPr>
          <w:rFonts w:ascii="Tahoma" w:eastAsia="Times New Roman" w:hAnsi="Tahoma" w:cs="Tahoma"/>
          <w:sz w:val="24"/>
          <w:szCs w:val="24"/>
        </w:rPr>
        <w:t xml:space="preserve">2023 года </w:t>
      </w:r>
      <w:r w:rsidRPr="008F2B24">
        <w:rPr>
          <w:rFonts w:ascii="Tahoma" w:eastAsia="Times New Roman" w:hAnsi="Tahoma" w:cs="Tahoma"/>
          <w:sz w:val="24"/>
          <w:szCs w:val="24"/>
        </w:rPr>
        <w:t xml:space="preserve">составил </w:t>
      </w:r>
      <w:r w:rsidR="00F52E3A" w:rsidRPr="008F2B24">
        <w:rPr>
          <w:rFonts w:ascii="Tahoma" w:eastAsia="Times New Roman" w:hAnsi="Tahoma" w:cs="Tahoma"/>
          <w:sz w:val="24"/>
          <w:szCs w:val="24"/>
        </w:rPr>
        <w:t>1</w:t>
      </w:r>
      <w:r w:rsidR="00D07308" w:rsidRPr="008F2B24">
        <w:rPr>
          <w:rFonts w:ascii="Tahoma" w:eastAsia="Times New Roman" w:hAnsi="Tahoma" w:cs="Tahoma"/>
          <w:sz w:val="24"/>
          <w:szCs w:val="24"/>
        </w:rPr>
        <w:t>,</w:t>
      </w:r>
      <w:r w:rsidR="00F52E3A" w:rsidRPr="008F2B24">
        <w:rPr>
          <w:rFonts w:ascii="Tahoma" w:eastAsia="Times New Roman" w:hAnsi="Tahoma" w:cs="Tahoma"/>
          <w:sz w:val="24"/>
          <w:szCs w:val="24"/>
        </w:rPr>
        <w:t>5</w:t>
      </w:r>
      <w:r w:rsidR="00D07308" w:rsidRPr="008F2B24">
        <w:rPr>
          <w:rFonts w:ascii="Tahoma" w:eastAsia="Times New Roman" w:hAnsi="Tahoma" w:cs="Tahoma"/>
          <w:sz w:val="24"/>
          <w:szCs w:val="24"/>
        </w:rPr>
        <w:t xml:space="preserve"> млрд рублей</w:t>
      </w:r>
      <w:r w:rsidR="00A02416" w:rsidRPr="008F2B24">
        <w:rPr>
          <w:rFonts w:ascii="Tahoma" w:eastAsia="Times New Roman" w:hAnsi="Tahoma" w:cs="Tahoma"/>
          <w:sz w:val="24"/>
          <w:szCs w:val="24"/>
        </w:rPr>
        <w:t xml:space="preserve"> и сформировался</w:t>
      </w:r>
      <w:r w:rsidR="008F2B24" w:rsidRPr="008F2B24">
        <w:rPr>
          <w:rFonts w:ascii="Tahoma" w:eastAsia="Times New Roman" w:hAnsi="Tahoma" w:cs="Tahoma"/>
          <w:sz w:val="24"/>
          <w:szCs w:val="24"/>
        </w:rPr>
        <w:t xml:space="preserve"> </w:t>
      </w:r>
      <w:r w:rsidR="00A02416" w:rsidRPr="008F2B24">
        <w:rPr>
          <w:rFonts w:ascii="Tahoma" w:eastAsia="Times New Roman" w:hAnsi="Tahoma" w:cs="Tahoma"/>
          <w:sz w:val="24"/>
          <w:szCs w:val="24"/>
        </w:rPr>
        <w:t>за сч</w:t>
      </w:r>
      <w:r w:rsidR="008159D6">
        <w:rPr>
          <w:rFonts w:ascii="Tahoma" w:eastAsia="Times New Roman" w:hAnsi="Tahoma" w:cs="Tahoma"/>
          <w:sz w:val="24"/>
          <w:szCs w:val="24"/>
        </w:rPr>
        <w:t>ё</w:t>
      </w:r>
      <w:r w:rsidR="00A02416" w:rsidRPr="008F2B24">
        <w:rPr>
          <w:rFonts w:ascii="Tahoma" w:eastAsia="Times New Roman" w:hAnsi="Tahoma" w:cs="Tahoma"/>
          <w:sz w:val="24"/>
          <w:szCs w:val="24"/>
        </w:rPr>
        <w:t xml:space="preserve">т компаний, </w:t>
      </w:r>
      <w:r w:rsidR="008F2B24" w:rsidRPr="008F2B24">
        <w:rPr>
          <w:rFonts w:ascii="Tahoma" w:eastAsia="Times New Roman" w:hAnsi="Tahoma" w:cs="Tahoma"/>
          <w:sz w:val="24"/>
          <w:szCs w:val="24"/>
        </w:rPr>
        <w:t>вошедших в периметр Группы</w:t>
      </w:r>
      <w:r w:rsidR="00A02416" w:rsidRPr="008F2B24">
        <w:rPr>
          <w:rFonts w:ascii="Tahoma" w:eastAsia="Times New Roman" w:hAnsi="Tahoma" w:cs="Tahoma"/>
          <w:sz w:val="24"/>
          <w:szCs w:val="24"/>
        </w:rPr>
        <w:t xml:space="preserve"> в октябре 2022 года</w:t>
      </w:r>
      <w:r w:rsidR="008F2B24" w:rsidRPr="008F2B24">
        <w:rPr>
          <w:rFonts w:ascii="Tahoma" w:eastAsia="Times New Roman" w:hAnsi="Tahoma" w:cs="Tahoma"/>
          <w:sz w:val="24"/>
          <w:szCs w:val="24"/>
        </w:rPr>
        <w:t xml:space="preserve"> и июле 2023 года.</w:t>
      </w:r>
    </w:p>
    <w:p w:rsidR="00E027DA" w:rsidRPr="00245F15" w:rsidRDefault="00C52C4E">
      <w:pPr>
        <w:spacing w:before="100" w:beforeAutospacing="1" w:after="375" w:line="375" w:lineRule="atLeast"/>
        <w:jc w:val="both"/>
        <w:rPr>
          <w:rFonts w:ascii="Tahoma" w:eastAsia="Times New Roman" w:hAnsi="Tahoma" w:cs="Tahoma"/>
          <w:sz w:val="24"/>
          <w:szCs w:val="24"/>
        </w:rPr>
      </w:pPr>
      <w:r w:rsidRPr="00514AA9">
        <w:rPr>
          <w:rFonts w:ascii="Tahoma" w:eastAsia="Times New Roman" w:hAnsi="Tahoma" w:cs="Tahoma"/>
          <w:sz w:val="24"/>
          <w:szCs w:val="24"/>
        </w:rPr>
        <w:t>Показатель EBITDA</w:t>
      </w:r>
      <w:r w:rsidRPr="00514AA9">
        <w:rPr>
          <w:rFonts w:ascii="Tahoma" w:eastAsia="Times New Roman" w:hAnsi="Tahoma" w:cs="Tahoma"/>
          <w:b/>
          <w:i/>
          <w:sz w:val="24"/>
          <w:szCs w:val="24"/>
        </w:rPr>
        <w:t xml:space="preserve"> сегмента «Зарубежные активы»</w:t>
      </w:r>
      <w:r w:rsidRPr="00514AA9">
        <w:rPr>
          <w:rFonts w:ascii="Tahoma" w:eastAsia="Times New Roman" w:hAnsi="Tahoma" w:cs="Tahoma"/>
          <w:sz w:val="24"/>
          <w:szCs w:val="24"/>
        </w:rPr>
        <w:t xml:space="preserve"> по сравнени</w:t>
      </w:r>
      <w:r w:rsidRPr="00395BD0">
        <w:rPr>
          <w:rFonts w:ascii="Tahoma" w:eastAsia="Times New Roman" w:hAnsi="Tahoma" w:cs="Tahoma"/>
          <w:sz w:val="24"/>
          <w:szCs w:val="24"/>
        </w:rPr>
        <w:t xml:space="preserve">ю с сопоставимым периодом прошлого года увеличился на </w:t>
      </w:r>
      <w:r w:rsidR="00514AA9" w:rsidRPr="00395BD0">
        <w:rPr>
          <w:rFonts w:ascii="Tahoma" w:eastAsia="Times New Roman" w:hAnsi="Tahoma" w:cs="Tahoma"/>
          <w:sz w:val="24"/>
          <w:szCs w:val="24"/>
        </w:rPr>
        <w:t>3</w:t>
      </w:r>
      <w:r w:rsidRPr="00395BD0">
        <w:rPr>
          <w:rFonts w:ascii="Tahoma" w:eastAsia="Times New Roman" w:hAnsi="Tahoma" w:cs="Tahoma"/>
          <w:sz w:val="24"/>
          <w:szCs w:val="24"/>
        </w:rPr>
        <w:t>,</w:t>
      </w:r>
      <w:r w:rsidR="00514AA9" w:rsidRPr="00395BD0">
        <w:rPr>
          <w:rFonts w:ascii="Tahoma" w:eastAsia="Times New Roman" w:hAnsi="Tahoma" w:cs="Tahoma"/>
          <w:sz w:val="24"/>
          <w:szCs w:val="24"/>
        </w:rPr>
        <w:t>5</w:t>
      </w:r>
      <w:r w:rsidRPr="00395BD0">
        <w:rPr>
          <w:rFonts w:ascii="Tahoma" w:eastAsia="Times New Roman" w:hAnsi="Tahoma" w:cs="Tahoma"/>
          <w:sz w:val="24"/>
          <w:szCs w:val="24"/>
        </w:rPr>
        <w:t xml:space="preserve"> млрд рублей (</w:t>
      </w:r>
      <w:r w:rsidR="00514AA9" w:rsidRPr="00395BD0">
        <w:rPr>
          <w:rFonts w:ascii="Tahoma" w:eastAsia="Times New Roman" w:hAnsi="Tahoma" w:cs="Tahoma"/>
          <w:sz w:val="24"/>
          <w:szCs w:val="24"/>
        </w:rPr>
        <w:t>52</w:t>
      </w:r>
      <w:r w:rsidRPr="00395BD0">
        <w:rPr>
          <w:rFonts w:ascii="Tahoma" w:eastAsia="Times New Roman" w:hAnsi="Tahoma" w:cs="Tahoma"/>
          <w:sz w:val="24"/>
          <w:szCs w:val="24"/>
        </w:rPr>
        <w:t>,</w:t>
      </w:r>
      <w:r w:rsidR="00514AA9" w:rsidRPr="00395BD0">
        <w:rPr>
          <w:rFonts w:ascii="Tahoma" w:eastAsia="Times New Roman" w:hAnsi="Tahoma" w:cs="Tahoma"/>
          <w:sz w:val="24"/>
          <w:szCs w:val="24"/>
        </w:rPr>
        <w:t>7</w:t>
      </w:r>
      <w:r w:rsidRPr="00395BD0">
        <w:rPr>
          <w:rFonts w:ascii="Tahoma" w:eastAsia="Times New Roman" w:hAnsi="Tahoma" w:cs="Tahoma"/>
          <w:sz w:val="24"/>
          <w:szCs w:val="24"/>
        </w:rPr>
        <w:t xml:space="preserve">%) и составил </w:t>
      </w:r>
      <w:r w:rsidR="00514AA9" w:rsidRPr="00395BD0">
        <w:rPr>
          <w:rFonts w:ascii="Tahoma" w:eastAsia="Times New Roman" w:hAnsi="Tahoma" w:cs="Tahoma"/>
          <w:sz w:val="24"/>
          <w:szCs w:val="24"/>
        </w:rPr>
        <w:t>10</w:t>
      </w:r>
      <w:r w:rsidRPr="00395BD0">
        <w:rPr>
          <w:rFonts w:ascii="Tahoma" w:eastAsia="Times New Roman" w:hAnsi="Tahoma" w:cs="Tahoma"/>
          <w:sz w:val="24"/>
          <w:szCs w:val="24"/>
        </w:rPr>
        <w:t>,</w:t>
      </w:r>
      <w:r w:rsidR="00757525" w:rsidRPr="00395BD0">
        <w:rPr>
          <w:rFonts w:ascii="Tahoma" w:eastAsia="Times New Roman" w:hAnsi="Tahoma" w:cs="Tahoma"/>
          <w:sz w:val="24"/>
          <w:szCs w:val="24"/>
        </w:rPr>
        <w:t>2</w:t>
      </w:r>
      <w:r w:rsidRPr="00395BD0">
        <w:rPr>
          <w:rFonts w:ascii="Tahoma" w:eastAsia="Times New Roman" w:hAnsi="Tahoma" w:cs="Tahoma"/>
          <w:sz w:val="24"/>
          <w:szCs w:val="24"/>
        </w:rPr>
        <w:t xml:space="preserve"> млрд рублей. Драйвером роста стало </w:t>
      </w:r>
      <w:r w:rsidR="00E66E1D" w:rsidRPr="00395BD0">
        <w:rPr>
          <w:rFonts w:ascii="Tahoma" w:eastAsia="Times New Roman" w:hAnsi="Tahoma" w:cs="Tahoma"/>
          <w:sz w:val="24"/>
          <w:szCs w:val="24"/>
        </w:rPr>
        <w:t xml:space="preserve">как </w:t>
      </w:r>
      <w:r w:rsidRPr="00395BD0">
        <w:rPr>
          <w:rFonts w:ascii="Tahoma" w:eastAsia="Times New Roman" w:hAnsi="Tahoma" w:cs="Tahoma"/>
          <w:sz w:val="24"/>
          <w:szCs w:val="24"/>
        </w:rPr>
        <w:t>увеличение полезного отпуска электроэнергии</w:t>
      </w:r>
      <w:r w:rsidR="008F2B24" w:rsidRPr="00395BD0">
        <w:rPr>
          <w:rFonts w:ascii="Tahoma" w:eastAsia="Times New Roman" w:hAnsi="Tahoma" w:cs="Tahoma"/>
          <w:sz w:val="24"/>
          <w:szCs w:val="24"/>
        </w:rPr>
        <w:t>, так и эффект от</w:t>
      </w:r>
      <w:r w:rsidR="00E66E1D" w:rsidRPr="00395BD0">
        <w:rPr>
          <w:rFonts w:ascii="Tahoma" w:eastAsia="Times New Roman" w:hAnsi="Tahoma" w:cs="Tahoma"/>
          <w:sz w:val="24"/>
          <w:szCs w:val="24"/>
        </w:rPr>
        <w:t xml:space="preserve"> укрепления курс</w:t>
      </w:r>
      <w:r w:rsidR="008F2B24" w:rsidRPr="00395BD0">
        <w:rPr>
          <w:rFonts w:ascii="Tahoma" w:eastAsia="Times New Roman" w:hAnsi="Tahoma" w:cs="Tahoma"/>
          <w:sz w:val="24"/>
          <w:szCs w:val="24"/>
        </w:rPr>
        <w:t>ов</w:t>
      </w:r>
      <w:r w:rsidR="00E66E1D" w:rsidRPr="00395BD0">
        <w:rPr>
          <w:rFonts w:ascii="Tahoma" w:eastAsia="Times New Roman" w:hAnsi="Tahoma" w:cs="Tahoma"/>
          <w:sz w:val="24"/>
          <w:szCs w:val="24"/>
        </w:rPr>
        <w:t xml:space="preserve"> </w:t>
      </w:r>
      <w:r w:rsidR="003D065C" w:rsidRPr="00395BD0">
        <w:rPr>
          <w:rFonts w:ascii="Tahoma" w:eastAsia="Times New Roman" w:hAnsi="Tahoma" w:cs="Tahoma"/>
          <w:sz w:val="24"/>
          <w:szCs w:val="24"/>
        </w:rPr>
        <w:t>валют</w:t>
      </w:r>
      <w:r w:rsidR="00E66E1D" w:rsidRPr="00395BD0">
        <w:rPr>
          <w:rFonts w:ascii="Tahoma" w:eastAsia="Times New Roman" w:hAnsi="Tahoma" w:cs="Tahoma"/>
          <w:sz w:val="24"/>
          <w:szCs w:val="24"/>
        </w:rPr>
        <w:t xml:space="preserve"> относительно рубля. </w:t>
      </w:r>
    </w:p>
    <w:p w:rsidR="00E027DA" w:rsidRDefault="00C52C4E" w:rsidP="00104F10">
      <w:pPr>
        <w:spacing w:before="100" w:beforeAutospacing="1" w:after="375" w:line="375" w:lineRule="atLeast"/>
        <w:jc w:val="both"/>
        <w:rPr>
          <w:rFonts w:ascii="Tahoma" w:hAnsi="Tahoma" w:cs="Tahoma"/>
          <w:sz w:val="17"/>
          <w:szCs w:val="17"/>
        </w:rPr>
      </w:pPr>
      <w:r w:rsidRPr="00245F15">
        <w:rPr>
          <w:rFonts w:ascii="Tahoma" w:eastAsia="Times New Roman" w:hAnsi="Tahoma" w:cs="Tahoma"/>
          <w:b/>
          <w:bCs/>
          <w:sz w:val="24"/>
          <w:szCs w:val="24"/>
        </w:rPr>
        <w:t xml:space="preserve">Чистая прибыль за </w:t>
      </w:r>
      <w:r w:rsidR="00245F15" w:rsidRPr="00245F15">
        <w:rPr>
          <w:rFonts w:ascii="Tahoma" w:eastAsia="Times New Roman" w:hAnsi="Tahoma" w:cs="Tahoma"/>
          <w:b/>
          <w:bCs/>
          <w:sz w:val="24"/>
          <w:szCs w:val="24"/>
        </w:rPr>
        <w:t>9 месяцев</w:t>
      </w:r>
      <w:r w:rsidR="00757525" w:rsidRPr="00245F15">
        <w:rPr>
          <w:rFonts w:ascii="Tahoma" w:eastAsia="Times New Roman" w:hAnsi="Tahoma" w:cs="Tahoma"/>
          <w:b/>
          <w:bCs/>
          <w:sz w:val="24"/>
          <w:szCs w:val="24"/>
        </w:rPr>
        <w:t xml:space="preserve"> </w:t>
      </w:r>
      <w:r w:rsidRPr="00245F15">
        <w:rPr>
          <w:rFonts w:ascii="Tahoma" w:eastAsia="Times New Roman" w:hAnsi="Tahoma" w:cs="Tahoma"/>
          <w:b/>
          <w:bCs/>
          <w:sz w:val="24"/>
          <w:szCs w:val="24"/>
        </w:rPr>
        <w:t xml:space="preserve">2023 года составила </w:t>
      </w:r>
      <w:r w:rsidR="00245F15" w:rsidRPr="00245F15">
        <w:rPr>
          <w:rFonts w:ascii="Tahoma" w:eastAsia="Times New Roman" w:hAnsi="Tahoma" w:cs="Tahoma"/>
          <w:b/>
          <w:bCs/>
          <w:sz w:val="24"/>
          <w:szCs w:val="24"/>
        </w:rPr>
        <w:t>97</w:t>
      </w:r>
      <w:r w:rsidRPr="00245F15">
        <w:rPr>
          <w:rFonts w:ascii="Tahoma" w:eastAsia="Times New Roman" w:hAnsi="Tahoma" w:cs="Tahoma"/>
          <w:b/>
          <w:bCs/>
          <w:sz w:val="24"/>
          <w:szCs w:val="24"/>
        </w:rPr>
        <w:t>,</w:t>
      </w:r>
      <w:r w:rsidR="00245F15" w:rsidRPr="00245F15">
        <w:rPr>
          <w:rFonts w:ascii="Tahoma" w:eastAsia="Times New Roman" w:hAnsi="Tahoma" w:cs="Tahoma"/>
          <w:b/>
          <w:bCs/>
          <w:sz w:val="24"/>
          <w:szCs w:val="24"/>
        </w:rPr>
        <w:t>2</w:t>
      </w:r>
      <w:r w:rsidRPr="00245F15">
        <w:rPr>
          <w:rFonts w:ascii="Tahoma" w:eastAsia="Times New Roman" w:hAnsi="Tahoma" w:cs="Tahoma"/>
          <w:b/>
          <w:bCs/>
          <w:sz w:val="24"/>
          <w:szCs w:val="24"/>
        </w:rPr>
        <w:t xml:space="preserve"> млрд рублей, снизившись на </w:t>
      </w:r>
      <w:r w:rsidR="00245F15" w:rsidRPr="00245F15">
        <w:rPr>
          <w:rFonts w:ascii="Tahoma" w:eastAsia="Times New Roman" w:hAnsi="Tahoma" w:cs="Tahoma"/>
          <w:b/>
          <w:bCs/>
          <w:sz w:val="24"/>
          <w:szCs w:val="24"/>
        </w:rPr>
        <w:t>5</w:t>
      </w:r>
      <w:r w:rsidRPr="00245F15">
        <w:rPr>
          <w:rFonts w:ascii="Tahoma" w:eastAsia="Times New Roman" w:hAnsi="Tahoma" w:cs="Tahoma"/>
          <w:b/>
          <w:bCs/>
          <w:sz w:val="24"/>
          <w:szCs w:val="24"/>
        </w:rPr>
        <w:t>,</w:t>
      </w:r>
      <w:r w:rsidR="00245F15" w:rsidRPr="00245F15">
        <w:rPr>
          <w:rFonts w:ascii="Tahoma" w:eastAsia="Times New Roman" w:hAnsi="Tahoma" w:cs="Tahoma"/>
          <w:b/>
          <w:bCs/>
          <w:sz w:val="24"/>
          <w:szCs w:val="24"/>
        </w:rPr>
        <w:t>1</w:t>
      </w:r>
      <w:r w:rsidR="00757525" w:rsidRPr="00245F15">
        <w:rPr>
          <w:rFonts w:ascii="Tahoma" w:eastAsia="Times New Roman" w:hAnsi="Tahoma" w:cs="Tahoma"/>
          <w:b/>
          <w:bCs/>
          <w:sz w:val="24"/>
          <w:szCs w:val="24"/>
        </w:rPr>
        <w:t xml:space="preserve"> </w:t>
      </w:r>
      <w:r w:rsidRPr="00245F15">
        <w:rPr>
          <w:rFonts w:ascii="Tahoma" w:eastAsia="Times New Roman" w:hAnsi="Tahoma" w:cs="Tahoma"/>
          <w:b/>
          <w:bCs/>
          <w:sz w:val="24"/>
          <w:szCs w:val="24"/>
        </w:rPr>
        <w:t xml:space="preserve">млрд рублей, </w:t>
      </w:r>
      <w:r w:rsidR="00851071" w:rsidRPr="00245F15">
        <w:rPr>
          <w:rFonts w:ascii="Tahoma" w:eastAsia="Times New Roman" w:hAnsi="Tahoma" w:cs="Tahoma"/>
          <w:b/>
          <w:bCs/>
          <w:sz w:val="24"/>
          <w:szCs w:val="24"/>
        </w:rPr>
        <w:t>(</w:t>
      </w:r>
      <w:r w:rsidR="00245F15" w:rsidRPr="00245F15">
        <w:rPr>
          <w:rFonts w:ascii="Tahoma" w:eastAsia="Times New Roman" w:hAnsi="Tahoma" w:cs="Tahoma"/>
          <w:b/>
          <w:bCs/>
          <w:sz w:val="24"/>
          <w:szCs w:val="24"/>
        </w:rPr>
        <w:t>5</w:t>
      </w:r>
      <w:r w:rsidRPr="00245F15">
        <w:rPr>
          <w:rFonts w:ascii="Tahoma" w:eastAsia="Times New Roman" w:hAnsi="Tahoma" w:cs="Tahoma"/>
          <w:b/>
          <w:bCs/>
          <w:sz w:val="24"/>
          <w:szCs w:val="24"/>
        </w:rPr>
        <w:t>,</w:t>
      </w:r>
      <w:r w:rsidR="00757525" w:rsidRPr="00245F15">
        <w:rPr>
          <w:rFonts w:ascii="Tahoma" w:eastAsia="Times New Roman" w:hAnsi="Tahoma" w:cs="Tahoma"/>
          <w:b/>
          <w:bCs/>
          <w:sz w:val="24"/>
          <w:szCs w:val="24"/>
        </w:rPr>
        <w:t>0</w:t>
      </w:r>
      <w:r w:rsidRPr="00245F15">
        <w:rPr>
          <w:rFonts w:ascii="Tahoma" w:eastAsia="Times New Roman" w:hAnsi="Tahoma" w:cs="Tahoma"/>
          <w:b/>
          <w:bCs/>
          <w:sz w:val="24"/>
          <w:szCs w:val="24"/>
        </w:rPr>
        <w:t>%</w:t>
      </w:r>
      <w:r w:rsidR="00851071" w:rsidRPr="00245F15">
        <w:rPr>
          <w:rFonts w:ascii="Tahoma" w:eastAsia="Times New Roman" w:hAnsi="Tahoma" w:cs="Tahoma"/>
          <w:b/>
          <w:bCs/>
          <w:sz w:val="24"/>
          <w:szCs w:val="24"/>
        </w:rPr>
        <w:t>)</w:t>
      </w:r>
      <w:r w:rsidRPr="00245F15">
        <w:rPr>
          <w:rFonts w:ascii="Tahoma" w:eastAsia="Times New Roman" w:hAnsi="Tahoma" w:cs="Tahoma"/>
          <w:b/>
          <w:bCs/>
          <w:sz w:val="24"/>
          <w:szCs w:val="24"/>
        </w:rPr>
        <w:t xml:space="preserve">, по сравнению </w:t>
      </w:r>
      <w:r w:rsidR="00851071" w:rsidRPr="00245F15">
        <w:rPr>
          <w:rFonts w:ascii="Tahoma" w:eastAsia="Times New Roman" w:hAnsi="Tahoma" w:cs="Tahoma"/>
          <w:b/>
          <w:bCs/>
          <w:sz w:val="24"/>
          <w:szCs w:val="24"/>
          <w:lang w:val="en-US"/>
        </w:rPr>
        <w:t>c</w:t>
      </w:r>
      <w:r w:rsidR="00851071" w:rsidRPr="00245F15">
        <w:rPr>
          <w:rFonts w:ascii="Tahoma" w:eastAsia="Times New Roman" w:hAnsi="Tahoma" w:cs="Tahoma"/>
          <w:b/>
          <w:bCs/>
          <w:sz w:val="24"/>
          <w:szCs w:val="24"/>
        </w:rPr>
        <w:t xml:space="preserve"> </w:t>
      </w:r>
      <w:r w:rsidRPr="00245F15">
        <w:rPr>
          <w:rFonts w:ascii="Tahoma" w:eastAsia="Times New Roman" w:hAnsi="Tahoma" w:cs="Tahoma"/>
          <w:b/>
          <w:bCs/>
          <w:sz w:val="24"/>
          <w:szCs w:val="24"/>
        </w:rPr>
        <w:t xml:space="preserve">результатами </w:t>
      </w:r>
      <w:r w:rsidR="00245F15" w:rsidRPr="00245F15">
        <w:rPr>
          <w:rFonts w:ascii="Tahoma" w:eastAsia="Times New Roman" w:hAnsi="Tahoma" w:cs="Tahoma"/>
          <w:b/>
          <w:bCs/>
          <w:sz w:val="24"/>
          <w:szCs w:val="24"/>
        </w:rPr>
        <w:t>9 месяцев</w:t>
      </w:r>
      <w:r w:rsidR="00757525" w:rsidRPr="00245F15">
        <w:rPr>
          <w:rFonts w:ascii="Tahoma" w:eastAsia="Times New Roman" w:hAnsi="Tahoma" w:cs="Tahoma"/>
          <w:b/>
          <w:bCs/>
          <w:sz w:val="24"/>
          <w:szCs w:val="24"/>
        </w:rPr>
        <w:t xml:space="preserve"> </w:t>
      </w:r>
      <w:r w:rsidRPr="00245F15">
        <w:rPr>
          <w:rFonts w:ascii="Tahoma" w:eastAsia="Times New Roman" w:hAnsi="Tahoma" w:cs="Tahoma"/>
          <w:b/>
          <w:bCs/>
          <w:sz w:val="24"/>
          <w:szCs w:val="24"/>
        </w:rPr>
        <w:t>2022 года.</w:t>
      </w:r>
      <w:bookmarkEnd w:id="0"/>
    </w:p>
    <w:sectPr w:rsidR="00E027D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567" w:right="851" w:bottom="1843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AEB" w:rsidRDefault="00C51AEB">
      <w:r>
        <w:separator/>
      </w:r>
    </w:p>
  </w:endnote>
  <w:endnote w:type="continuationSeparator" w:id="0">
    <w:p w:rsidR="00C51AEB" w:rsidRDefault="00C51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ans">
    <w:altName w:val="Times New Roman"/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2D0B" w:rsidRDefault="00D42D0B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7DA" w:rsidRDefault="00E027DA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E027DA">
      <w:trPr>
        <w:trHeight w:val="373"/>
      </w:trPr>
      <w:tc>
        <w:tcPr>
          <w:tcW w:w="9570" w:type="dxa"/>
          <w:tcBorders>
            <w:top w:val="single" w:sz="4" w:space="0" w:color="auto"/>
          </w:tcBorders>
        </w:tcPr>
        <w:p w:rsidR="00E027DA" w:rsidRDefault="00D42D0B">
          <w:pPr>
            <w:spacing w:before="20" w:after="20"/>
            <w:jc w:val="center"/>
            <w:rPr>
              <w:rFonts w:ascii="Verdana" w:hAnsi="Verdana" w:cs="Arial"/>
              <w:b/>
              <w:sz w:val="16"/>
              <w:szCs w:val="16"/>
            </w:rPr>
          </w:pPr>
          <w:r>
            <w:rPr>
              <w:rFonts w:ascii="Verdana" w:hAnsi="Verdana" w:cs="Arial"/>
              <w:b/>
              <w:sz w:val="16"/>
              <w:szCs w:val="16"/>
            </w:rPr>
            <w:t xml:space="preserve">Центр </w:t>
          </w:r>
          <w:r w:rsidR="00C52C4E">
            <w:rPr>
              <w:rFonts w:ascii="Verdana" w:hAnsi="Verdana" w:cs="Arial"/>
              <w:b/>
              <w:sz w:val="16"/>
              <w:szCs w:val="16"/>
            </w:rPr>
            <w:t>информационной политики ПАО «Интер РАО»</w:t>
          </w:r>
        </w:p>
        <w:p w:rsidR="00E027DA" w:rsidRDefault="00C52C4E">
          <w:pPr>
            <w:spacing w:before="20" w:after="20"/>
            <w:jc w:val="center"/>
            <w:rPr>
              <w:rFonts w:ascii="Century Gothic" w:hAnsi="Century Gothic" w:cs="Arial"/>
              <w:b/>
              <w:sz w:val="16"/>
              <w:szCs w:val="16"/>
            </w:rPr>
          </w:pPr>
          <w:r>
            <w:rPr>
              <w:rFonts w:ascii="Century Gothic" w:hAnsi="Century Gothic" w:cs="Arial"/>
              <w:b/>
              <w:sz w:val="16"/>
              <w:szCs w:val="16"/>
            </w:rPr>
            <w:t>тел.: +7 (495) 664-88-40</w:t>
          </w:r>
        </w:p>
      </w:tc>
    </w:tr>
  </w:tbl>
  <w:p w:rsidR="00E027DA" w:rsidRDefault="00E027DA">
    <w:pPr>
      <w:pStyle w:val="ae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7DA" w:rsidRDefault="00E027DA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E027DA">
      <w:trPr>
        <w:trHeight w:val="373"/>
      </w:trPr>
      <w:tc>
        <w:tcPr>
          <w:tcW w:w="9570" w:type="dxa"/>
          <w:tcBorders>
            <w:top w:val="single" w:sz="4" w:space="0" w:color="auto"/>
          </w:tcBorders>
        </w:tcPr>
        <w:p w:rsidR="00E027DA" w:rsidRDefault="008159D6">
          <w:pPr>
            <w:spacing w:before="20" w:after="20"/>
            <w:jc w:val="center"/>
            <w:rPr>
              <w:rFonts w:ascii="Verdana" w:hAnsi="Verdana" w:cs="Arial"/>
              <w:b/>
              <w:sz w:val="16"/>
              <w:szCs w:val="16"/>
            </w:rPr>
          </w:pPr>
          <w:r>
            <w:rPr>
              <w:rFonts w:ascii="Verdana" w:hAnsi="Verdana" w:cs="Arial"/>
              <w:b/>
              <w:sz w:val="16"/>
              <w:szCs w:val="16"/>
            </w:rPr>
            <w:t xml:space="preserve">Центр </w:t>
          </w:r>
          <w:r w:rsidR="00C52C4E">
            <w:rPr>
              <w:rFonts w:ascii="Verdana" w:hAnsi="Verdana" w:cs="Arial"/>
              <w:b/>
              <w:sz w:val="16"/>
              <w:szCs w:val="16"/>
            </w:rPr>
            <w:t>информационной политики ПАО «Интер РАО»</w:t>
          </w:r>
        </w:p>
        <w:p w:rsidR="00E027DA" w:rsidRDefault="00C52C4E">
          <w:pPr>
            <w:spacing w:before="20" w:after="20"/>
            <w:jc w:val="center"/>
            <w:rPr>
              <w:rFonts w:ascii="Century Gothic" w:hAnsi="Century Gothic" w:cs="Arial"/>
              <w:b/>
              <w:sz w:val="16"/>
              <w:szCs w:val="16"/>
            </w:rPr>
          </w:pPr>
          <w:r>
            <w:rPr>
              <w:rFonts w:ascii="Century Gothic" w:hAnsi="Century Gothic" w:cs="Arial"/>
              <w:b/>
              <w:sz w:val="16"/>
              <w:szCs w:val="16"/>
            </w:rPr>
            <w:t>тел.: (495) 664-88-40</w:t>
          </w:r>
        </w:p>
      </w:tc>
    </w:tr>
  </w:tbl>
  <w:p w:rsidR="00E027DA" w:rsidRDefault="00E027DA">
    <w:pPr>
      <w:pStyle w:val="a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AEB" w:rsidRDefault="00C51AEB">
      <w:r>
        <w:separator/>
      </w:r>
    </w:p>
  </w:footnote>
  <w:footnote w:type="continuationSeparator" w:id="0">
    <w:p w:rsidR="00C51AEB" w:rsidRDefault="00C51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2D0B" w:rsidRDefault="00D42D0B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2D0B" w:rsidRDefault="00D42D0B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2D0B" w:rsidRDefault="00D42D0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B1504"/>
    <w:multiLevelType w:val="hybridMultilevel"/>
    <w:tmpl w:val="C85E5994"/>
    <w:lvl w:ilvl="0" w:tplc="1C0ECF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46855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5CADD3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66216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D8F17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F8F8E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CDAA63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258C88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76FE6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D291EBC"/>
    <w:multiLevelType w:val="hybridMultilevel"/>
    <w:tmpl w:val="ACD01632"/>
    <w:lvl w:ilvl="0" w:tplc="C7B26D5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D13A33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C6EA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0C2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1E51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6A7DB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5EC2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E0004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C3EE1B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3430D9"/>
    <w:multiLevelType w:val="hybridMultilevel"/>
    <w:tmpl w:val="473405F4"/>
    <w:lvl w:ilvl="0" w:tplc="B3541386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b/>
      </w:rPr>
    </w:lvl>
    <w:lvl w:ilvl="1" w:tplc="499ECA4A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1A7C6648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472E000C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4918B438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48E86082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DE563D36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A83CB7B6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4194268E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115F170C"/>
    <w:multiLevelType w:val="hybridMultilevel"/>
    <w:tmpl w:val="D180930A"/>
    <w:lvl w:ilvl="0" w:tplc="69322C3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E48214F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96A129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E0223C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8D8795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3C24F6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0C4C3A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F16E4B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D2CE92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88138F"/>
    <w:multiLevelType w:val="hybridMultilevel"/>
    <w:tmpl w:val="2CA40AC2"/>
    <w:lvl w:ilvl="0" w:tplc="1DF6E5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9A68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D2BA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66B0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E099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109B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68C5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C844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9C0D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F2F86"/>
    <w:multiLevelType w:val="hybridMultilevel"/>
    <w:tmpl w:val="E45AD682"/>
    <w:lvl w:ilvl="0" w:tplc="BC78BAE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CD3E458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A64126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D10AE9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82C6B2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3BADE7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DF4DCC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F96DF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26ABD0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1C7407"/>
    <w:multiLevelType w:val="hybridMultilevel"/>
    <w:tmpl w:val="27E26E0E"/>
    <w:lvl w:ilvl="0" w:tplc="93D4D9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741A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0A16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1E6F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A2E0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DADD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FC4D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84C10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CE72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E7A1A"/>
    <w:multiLevelType w:val="hybridMultilevel"/>
    <w:tmpl w:val="06122D72"/>
    <w:lvl w:ilvl="0" w:tplc="DE96ACFC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C70CA1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2A819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6CF6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1E68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76263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924A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F2C7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CECA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4E1F60"/>
    <w:multiLevelType w:val="hybridMultilevel"/>
    <w:tmpl w:val="CFD0DF12"/>
    <w:lvl w:ilvl="0" w:tplc="5D5026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F014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6BAA22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2F0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7A92D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BC59D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42A6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82CE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2C0BD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3479E8"/>
    <w:multiLevelType w:val="hybridMultilevel"/>
    <w:tmpl w:val="1B165D8C"/>
    <w:lvl w:ilvl="0" w:tplc="5C2C93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64C7D98">
      <w:start w:val="1"/>
      <w:numFmt w:val="lowerLetter"/>
      <w:lvlText w:val="%2."/>
      <w:lvlJc w:val="left"/>
      <w:pPr>
        <w:ind w:left="1440" w:hanging="360"/>
      </w:pPr>
    </w:lvl>
    <w:lvl w:ilvl="2" w:tplc="A6BAE128">
      <w:start w:val="1"/>
      <w:numFmt w:val="lowerRoman"/>
      <w:lvlText w:val="%3."/>
      <w:lvlJc w:val="right"/>
      <w:pPr>
        <w:ind w:left="2160" w:hanging="180"/>
      </w:pPr>
    </w:lvl>
    <w:lvl w:ilvl="3" w:tplc="7C74E1DC">
      <w:start w:val="1"/>
      <w:numFmt w:val="decimal"/>
      <w:lvlText w:val="%4."/>
      <w:lvlJc w:val="left"/>
      <w:pPr>
        <w:ind w:left="2880" w:hanging="360"/>
      </w:pPr>
    </w:lvl>
    <w:lvl w:ilvl="4" w:tplc="2F5EB77E">
      <w:start w:val="1"/>
      <w:numFmt w:val="lowerLetter"/>
      <w:lvlText w:val="%5."/>
      <w:lvlJc w:val="left"/>
      <w:pPr>
        <w:ind w:left="3600" w:hanging="360"/>
      </w:pPr>
    </w:lvl>
    <w:lvl w:ilvl="5" w:tplc="F27AF5F6">
      <w:start w:val="1"/>
      <w:numFmt w:val="lowerRoman"/>
      <w:lvlText w:val="%6."/>
      <w:lvlJc w:val="right"/>
      <w:pPr>
        <w:ind w:left="4320" w:hanging="180"/>
      </w:pPr>
    </w:lvl>
    <w:lvl w:ilvl="6" w:tplc="8B4ECBAC">
      <w:start w:val="1"/>
      <w:numFmt w:val="decimal"/>
      <w:lvlText w:val="%7."/>
      <w:lvlJc w:val="left"/>
      <w:pPr>
        <w:ind w:left="5040" w:hanging="360"/>
      </w:pPr>
    </w:lvl>
    <w:lvl w:ilvl="7" w:tplc="045A6818">
      <w:start w:val="1"/>
      <w:numFmt w:val="lowerLetter"/>
      <w:lvlText w:val="%8."/>
      <w:lvlJc w:val="left"/>
      <w:pPr>
        <w:ind w:left="5760" w:hanging="360"/>
      </w:pPr>
    </w:lvl>
    <w:lvl w:ilvl="8" w:tplc="EB166EE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A133DA"/>
    <w:multiLevelType w:val="hybridMultilevel"/>
    <w:tmpl w:val="03F65B1A"/>
    <w:lvl w:ilvl="0" w:tplc="7D8E10DC">
      <w:start w:val="1"/>
      <w:numFmt w:val="decimal"/>
      <w:lvlText w:val="%1."/>
      <w:lvlJc w:val="left"/>
      <w:pPr>
        <w:tabs>
          <w:tab w:val="num" w:pos="2103"/>
        </w:tabs>
        <w:ind w:left="2103" w:hanging="2103"/>
      </w:pPr>
      <w:rPr>
        <w:rFonts w:hint="default"/>
      </w:rPr>
    </w:lvl>
    <w:lvl w:ilvl="1" w:tplc="1554A0B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3EF36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E204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32279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BC783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1427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A8C97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10AF6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03590A"/>
    <w:multiLevelType w:val="hybridMultilevel"/>
    <w:tmpl w:val="205006E0"/>
    <w:lvl w:ilvl="0" w:tplc="38A447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D04CBCE">
      <w:start w:val="1"/>
      <w:numFmt w:val="lowerLetter"/>
      <w:lvlText w:val="%2."/>
      <w:lvlJc w:val="left"/>
      <w:pPr>
        <w:ind w:left="1440" w:hanging="360"/>
      </w:pPr>
    </w:lvl>
    <w:lvl w:ilvl="2" w:tplc="41A81AFE">
      <w:start w:val="1"/>
      <w:numFmt w:val="lowerRoman"/>
      <w:lvlText w:val="%3."/>
      <w:lvlJc w:val="right"/>
      <w:pPr>
        <w:ind w:left="2160" w:hanging="180"/>
      </w:pPr>
    </w:lvl>
    <w:lvl w:ilvl="3" w:tplc="05807B1A">
      <w:start w:val="1"/>
      <w:numFmt w:val="decimal"/>
      <w:lvlText w:val="%4."/>
      <w:lvlJc w:val="left"/>
      <w:pPr>
        <w:ind w:left="2880" w:hanging="360"/>
      </w:pPr>
    </w:lvl>
    <w:lvl w:ilvl="4" w:tplc="FC4CAEFA">
      <w:start w:val="1"/>
      <w:numFmt w:val="lowerLetter"/>
      <w:lvlText w:val="%5."/>
      <w:lvlJc w:val="left"/>
      <w:pPr>
        <w:ind w:left="3600" w:hanging="360"/>
      </w:pPr>
    </w:lvl>
    <w:lvl w:ilvl="5" w:tplc="244256CE">
      <w:start w:val="1"/>
      <w:numFmt w:val="lowerRoman"/>
      <w:lvlText w:val="%6."/>
      <w:lvlJc w:val="right"/>
      <w:pPr>
        <w:ind w:left="4320" w:hanging="180"/>
      </w:pPr>
    </w:lvl>
    <w:lvl w:ilvl="6" w:tplc="AED25BDA">
      <w:start w:val="1"/>
      <w:numFmt w:val="decimal"/>
      <w:lvlText w:val="%7."/>
      <w:lvlJc w:val="left"/>
      <w:pPr>
        <w:ind w:left="5040" w:hanging="360"/>
      </w:pPr>
    </w:lvl>
    <w:lvl w:ilvl="7" w:tplc="4FC6C68E">
      <w:start w:val="1"/>
      <w:numFmt w:val="lowerLetter"/>
      <w:lvlText w:val="%8."/>
      <w:lvlJc w:val="left"/>
      <w:pPr>
        <w:ind w:left="5760" w:hanging="360"/>
      </w:pPr>
    </w:lvl>
    <w:lvl w:ilvl="8" w:tplc="E730E26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D1590"/>
    <w:multiLevelType w:val="hybridMultilevel"/>
    <w:tmpl w:val="DC5E9F38"/>
    <w:lvl w:ilvl="0" w:tplc="C108030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766EE5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D0622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78F8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C64B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18867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1FAED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56BF0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74DEA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EF494B"/>
    <w:multiLevelType w:val="hybridMultilevel"/>
    <w:tmpl w:val="F660465A"/>
    <w:lvl w:ilvl="0" w:tplc="5B2E7B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FA84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6AA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D6B0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2A3B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EAB5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9EB7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64C51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F864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F61DA5"/>
    <w:multiLevelType w:val="hybridMultilevel"/>
    <w:tmpl w:val="0AA01C68"/>
    <w:lvl w:ilvl="0" w:tplc="4A5E7F5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C7C0BA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4494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F03C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D4EE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8A41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CC68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BCF0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F494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8938CB"/>
    <w:multiLevelType w:val="hybridMultilevel"/>
    <w:tmpl w:val="E18072B8"/>
    <w:lvl w:ilvl="0" w:tplc="7EC839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B08E54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A6E381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C86675D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34065A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0B61B7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8E2941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E0893B8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A8A6D3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E3F24F2"/>
    <w:multiLevelType w:val="hybridMultilevel"/>
    <w:tmpl w:val="3814D5FC"/>
    <w:lvl w:ilvl="0" w:tplc="B1FC9E9C">
      <w:start w:val="1"/>
      <w:numFmt w:val="decimal"/>
      <w:lvlText w:val="%1."/>
      <w:lvlJc w:val="left"/>
      <w:pPr>
        <w:tabs>
          <w:tab w:val="num" w:pos="2812"/>
        </w:tabs>
        <w:ind w:left="2812" w:hanging="2103"/>
      </w:pPr>
      <w:rPr>
        <w:rFonts w:hint="default"/>
      </w:rPr>
    </w:lvl>
    <w:lvl w:ilvl="1" w:tplc="6E84598A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5AEA5354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590A930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24A65F0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E5495B0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07A20AE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4D072D2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15467AE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40A71080"/>
    <w:multiLevelType w:val="hybridMultilevel"/>
    <w:tmpl w:val="432C66C8"/>
    <w:lvl w:ilvl="0" w:tplc="8A7061AC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 w:tplc="6638E91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AA0947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45EBF9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98CF5C8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91AF8A8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B24E0D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AECBFF0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4F0970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5F04EDD"/>
    <w:multiLevelType w:val="hybridMultilevel"/>
    <w:tmpl w:val="956A9B7E"/>
    <w:lvl w:ilvl="0" w:tplc="AA9EF964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6F665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BA55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5E25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0EF4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1E004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42B0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5004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26C1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F63B78"/>
    <w:multiLevelType w:val="hybridMultilevel"/>
    <w:tmpl w:val="66B2527C"/>
    <w:lvl w:ilvl="0" w:tplc="C694B1D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244267B8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68284CCA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46209DE2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5750FE20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CA941530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55DC4FB2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C45A5BD4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69A2CC7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56107681"/>
    <w:multiLevelType w:val="hybridMultilevel"/>
    <w:tmpl w:val="022A86CC"/>
    <w:lvl w:ilvl="0" w:tplc="E79A9C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36C00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BF2AD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C805C5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9864D8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89413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962AE4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6640ED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CD4C5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2870A2"/>
    <w:multiLevelType w:val="hybridMultilevel"/>
    <w:tmpl w:val="9806A2B6"/>
    <w:lvl w:ilvl="0" w:tplc="BB4281BE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C3D0B45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1B421E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FEA9C9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190A62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A7A0A4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88E012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91C376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628EC4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7674DBE"/>
    <w:multiLevelType w:val="hybridMultilevel"/>
    <w:tmpl w:val="8D244858"/>
    <w:lvl w:ilvl="0" w:tplc="EA181B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A842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3CB4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3CC6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7AE5C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7A668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E68A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AC43F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2EE2C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9641011"/>
    <w:multiLevelType w:val="hybridMultilevel"/>
    <w:tmpl w:val="370C4364"/>
    <w:lvl w:ilvl="0" w:tplc="C9F67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3C65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E809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526C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98CC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088D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B653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BE6E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D069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E6324B"/>
    <w:multiLevelType w:val="hybridMultilevel"/>
    <w:tmpl w:val="3588157A"/>
    <w:lvl w:ilvl="0" w:tplc="3AA6440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A754A2A"/>
    <w:multiLevelType w:val="hybridMultilevel"/>
    <w:tmpl w:val="F566E53A"/>
    <w:lvl w:ilvl="0" w:tplc="94CCF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C8288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54EC8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7E2C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14818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40A8E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4FCC9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D8D93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32097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352393"/>
    <w:multiLevelType w:val="hybridMultilevel"/>
    <w:tmpl w:val="CC600A58"/>
    <w:lvl w:ilvl="0" w:tplc="2A6AA86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AE882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848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8E8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606B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F804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66FE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641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32E8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7D5F97"/>
    <w:multiLevelType w:val="hybridMultilevel"/>
    <w:tmpl w:val="EE7E1CE0"/>
    <w:lvl w:ilvl="0" w:tplc="0F84BCF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50BE22B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F48A0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05AF89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5781B7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846ADE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1A2A47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59CE8C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DDA243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7E84EF4"/>
    <w:multiLevelType w:val="hybridMultilevel"/>
    <w:tmpl w:val="470C16F6"/>
    <w:lvl w:ilvl="0" w:tplc="2D64C0CC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B02D030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3381BD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9F5E6962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FA66A8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C658B10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8F042232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D429238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BCEC6C0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23"/>
  </w:num>
  <w:num w:numId="4">
    <w:abstractNumId w:val="0"/>
  </w:num>
  <w:num w:numId="5">
    <w:abstractNumId w:val="15"/>
  </w:num>
  <w:num w:numId="6">
    <w:abstractNumId w:val="25"/>
  </w:num>
  <w:num w:numId="7">
    <w:abstractNumId w:val="22"/>
  </w:num>
  <w:num w:numId="8">
    <w:abstractNumId w:val="1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4"/>
  </w:num>
  <w:num w:numId="13">
    <w:abstractNumId w:val="16"/>
  </w:num>
  <w:num w:numId="14">
    <w:abstractNumId w:val="10"/>
  </w:num>
  <w:num w:numId="15">
    <w:abstractNumId w:val="1"/>
  </w:num>
  <w:num w:numId="16">
    <w:abstractNumId w:val="9"/>
  </w:num>
  <w:num w:numId="17">
    <w:abstractNumId w:val="11"/>
  </w:num>
  <w:num w:numId="18">
    <w:abstractNumId w:val="26"/>
  </w:num>
  <w:num w:numId="19">
    <w:abstractNumId w:val="27"/>
  </w:num>
  <w:num w:numId="20">
    <w:abstractNumId w:val="19"/>
  </w:num>
  <w:num w:numId="21">
    <w:abstractNumId w:val="28"/>
  </w:num>
  <w:num w:numId="22">
    <w:abstractNumId w:val="21"/>
  </w:num>
  <w:num w:numId="23">
    <w:abstractNumId w:val="6"/>
  </w:num>
  <w:num w:numId="24">
    <w:abstractNumId w:val="13"/>
  </w:num>
  <w:num w:numId="25">
    <w:abstractNumId w:val="5"/>
  </w:num>
  <w:num w:numId="26">
    <w:abstractNumId w:val="3"/>
  </w:num>
  <w:num w:numId="27">
    <w:abstractNumId w:val="20"/>
  </w:num>
  <w:num w:numId="28">
    <w:abstractNumId w:val="4"/>
  </w:num>
  <w:num w:numId="29">
    <w:abstractNumId w:val="2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7DA"/>
    <w:rsid w:val="0002032F"/>
    <w:rsid w:val="000276A8"/>
    <w:rsid w:val="0003272A"/>
    <w:rsid w:val="00032C59"/>
    <w:rsid w:val="000579D8"/>
    <w:rsid w:val="00085531"/>
    <w:rsid w:val="0009103E"/>
    <w:rsid w:val="000C3C65"/>
    <w:rsid w:val="000E3AC2"/>
    <w:rsid w:val="00101C18"/>
    <w:rsid w:val="00104F10"/>
    <w:rsid w:val="001316E5"/>
    <w:rsid w:val="001510CC"/>
    <w:rsid w:val="00161CF9"/>
    <w:rsid w:val="001D08B6"/>
    <w:rsid w:val="001D2811"/>
    <w:rsid w:val="001F7872"/>
    <w:rsid w:val="00202515"/>
    <w:rsid w:val="00222CE6"/>
    <w:rsid w:val="00225AC2"/>
    <w:rsid w:val="00245F15"/>
    <w:rsid w:val="002468EA"/>
    <w:rsid w:val="00254822"/>
    <w:rsid w:val="0025730F"/>
    <w:rsid w:val="00295BF6"/>
    <w:rsid w:val="002A2FBC"/>
    <w:rsid w:val="002C2C90"/>
    <w:rsid w:val="00323F47"/>
    <w:rsid w:val="00344450"/>
    <w:rsid w:val="00381398"/>
    <w:rsid w:val="00387804"/>
    <w:rsid w:val="00395BD0"/>
    <w:rsid w:val="003B619D"/>
    <w:rsid w:val="003C35DD"/>
    <w:rsid w:val="003D065C"/>
    <w:rsid w:val="00406B48"/>
    <w:rsid w:val="0041718B"/>
    <w:rsid w:val="004E0EF3"/>
    <w:rsid w:val="004F5913"/>
    <w:rsid w:val="00514AA9"/>
    <w:rsid w:val="00515E33"/>
    <w:rsid w:val="00516360"/>
    <w:rsid w:val="005216EE"/>
    <w:rsid w:val="00522C6D"/>
    <w:rsid w:val="00543E2B"/>
    <w:rsid w:val="00586B56"/>
    <w:rsid w:val="0059635A"/>
    <w:rsid w:val="005A025E"/>
    <w:rsid w:val="005A78B2"/>
    <w:rsid w:val="005C4A24"/>
    <w:rsid w:val="005D56EA"/>
    <w:rsid w:val="005E634D"/>
    <w:rsid w:val="00602B5B"/>
    <w:rsid w:val="00615409"/>
    <w:rsid w:val="006205F0"/>
    <w:rsid w:val="006465CB"/>
    <w:rsid w:val="00666D3F"/>
    <w:rsid w:val="0067042F"/>
    <w:rsid w:val="00672E1D"/>
    <w:rsid w:val="006745B3"/>
    <w:rsid w:val="006B55A6"/>
    <w:rsid w:val="006F74EE"/>
    <w:rsid w:val="007005BC"/>
    <w:rsid w:val="00752BB9"/>
    <w:rsid w:val="00757525"/>
    <w:rsid w:val="007636CE"/>
    <w:rsid w:val="00770B55"/>
    <w:rsid w:val="007817C3"/>
    <w:rsid w:val="00786420"/>
    <w:rsid w:val="0079475F"/>
    <w:rsid w:val="007C1E95"/>
    <w:rsid w:val="007D3782"/>
    <w:rsid w:val="007D3A07"/>
    <w:rsid w:val="007F7039"/>
    <w:rsid w:val="008159D6"/>
    <w:rsid w:val="00824267"/>
    <w:rsid w:val="00851071"/>
    <w:rsid w:val="008A7928"/>
    <w:rsid w:val="008F2B24"/>
    <w:rsid w:val="00917A73"/>
    <w:rsid w:val="00926DF1"/>
    <w:rsid w:val="0095349D"/>
    <w:rsid w:val="00957471"/>
    <w:rsid w:val="00962B61"/>
    <w:rsid w:val="00991B34"/>
    <w:rsid w:val="009E315B"/>
    <w:rsid w:val="00A02416"/>
    <w:rsid w:val="00A2378A"/>
    <w:rsid w:val="00A476DA"/>
    <w:rsid w:val="00A56B79"/>
    <w:rsid w:val="00A6679E"/>
    <w:rsid w:val="00A72794"/>
    <w:rsid w:val="00A967CE"/>
    <w:rsid w:val="00AA228C"/>
    <w:rsid w:val="00AB4EDF"/>
    <w:rsid w:val="00AB6ADB"/>
    <w:rsid w:val="00AB7416"/>
    <w:rsid w:val="00AD48DD"/>
    <w:rsid w:val="00AD6C76"/>
    <w:rsid w:val="00B07A17"/>
    <w:rsid w:val="00B55C6E"/>
    <w:rsid w:val="00B65D55"/>
    <w:rsid w:val="00B7025A"/>
    <w:rsid w:val="00B73CB6"/>
    <w:rsid w:val="00BC17CF"/>
    <w:rsid w:val="00BE76F7"/>
    <w:rsid w:val="00BF1DDA"/>
    <w:rsid w:val="00C04651"/>
    <w:rsid w:val="00C066DF"/>
    <w:rsid w:val="00C170C7"/>
    <w:rsid w:val="00C36264"/>
    <w:rsid w:val="00C4112B"/>
    <w:rsid w:val="00C41C17"/>
    <w:rsid w:val="00C51AEB"/>
    <w:rsid w:val="00C52C4E"/>
    <w:rsid w:val="00C84273"/>
    <w:rsid w:val="00C9016D"/>
    <w:rsid w:val="00CA00A3"/>
    <w:rsid w:val="00CA0E3A"/>
    <w:rsid w:val="00CC0FD2"/>
    <w:rsid w:val="00CC4B57"/>
    <w:rsid w:val="00CC5C48"/>
    <w:rsid w:val="00CD7C55"/>
    <w:rsid w:val="00CE176B"/>
    <w:rsid w:val="00D07308"/>
    <w:rsid w:val="00D40AFE"/>
    <w:rsid w:val="00D42D0B"/>
    <w:rsid w:val="00D44177"/>
    <w:rsid w:val="00D814BC"/>
    <w:rsid w:val="00DA474D"/>
    <w:rsid w:val="00DA6C8C"/>
    <w:rsid w:val="00DE44E7"/>
    <w:rsid w:val="00E027DA"/>
    <w:rsid w:val="00E57CFD"/>
    <w:rsid w:val="00E66E1D"/>
    <w:rsid w:val="00E71871"/>
    <w:rsid w:val="00E775F2"/>
    <w:rsid w:val="00E86CCB"/>
    <w:rsid w:val="00EE09E8"/>
    <w:rsid w:val="00F07726"/>
    <w:rsid w:val="00F3153B"/>
    <w:rsid w:val="00F52E3A"/>
    <w:rsid w:val="00F9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512D1D-58F8-45BF-8936-6A60DE67A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Заголовок Знак"/>
    <w:basedOn w:val="a0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aa">
    <w:name w:val="Верхний колонтитул Знак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e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f0">
    <w:name w:val="Текст сноски Знак"/>
    <w:link w:val="af1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paragraph" w:styleId="af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f8">
    <w:name w:val="a"/>
    <w:basedOn w:val="a"/>
    <w:pPr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f9">
    <w:name w:val="Normal (Web)"/>
    <w:basedOn w:val="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afa">
    <w:name w:val="Hyperlink"/>
    <w:rPr>
      <w:color w:val="0000FF"/>
      <w:u w:val="single"/>
    </w:rPr>
  </w:style>
  <w:style w:type="paragraph" w:styleId="ab">
    <w:name w:val="header"/>
    <w:basedOn w:val="a"/>
    <w:link w:val="aa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d"/>
    <w:pPr>
      <w:tabs>
        <w:tab w:val="center" w:pos="4677"/>
        <w:tab w:val="right" w:pos="9355"/>
      </w:tabs>
    </w:pPr>
  </w:style>
  <w:style w:type="paragraph" w:styleId="25">
    <w:name w:val="Body Text 2"/>
    <w:basedOn w:val="a"/>
    <w:rPr>
      <w:rFonts w:ascii="Arial Narrow" w:eastAsia="Times New Roman" w:hAnsi="Arial Narrow" w:cs="Arial Narrow"/>
      <w:i/>
      <w:iCs/>
      <w:sz w:val="26"/>
      <w:szCs w:val="26"/>
    </w:rPr>
  </w:style>
  <w:style w:type="paragraph" w:styleId="afb">
    <w:name w:val="Plain Text"/>
    <w:basedOn w:val="a"/>
    <w:rPr>
      <w:rFonts w:ascii="Consolas" w:eastAsia="Times New Roman" w:hAnsi="Consolas"/>
      <w:sz w:val="21"/>
      <w:szCs w:val="21"/>
      <w:lang w:val="en-US" w:eastAsia="en-US"/>
    </w:rPr>
  </w:style>
  <w:style w:type="character" w:customStyle="1" w:styleId="43">
    <w:name w:val="Знак Знак4"/>
    <w:rPr>
      <w:rFonts w:ascii="Consolas" w:hAnsi="Consolas"/>
      <w:sz w:val="21"/>
      <w:szCs w:val="21"/>
      <w:lang w:val="en-US" w:eastAsia="en-US" w:bidi="ar-SA"/>
    </w:rPr>
  </w:style>
  <w:style w:type="character" w:styleId="afc">
    <w:name w:val="FollowedHyperlink"/>
    <w:rPr>
      <w:color w:val="800080"/>
      <w:u w:val="single"/>
    </w:rPr>
  </w:style>
  <w:style w:type="character" w:styleId="afd">
    <w:name w:val="annotation reference"/>
    <w:semiHidden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rPr>
      <w:sz w:val="20"/>
      <w:szCs w:val="20"/>
    </w:rPr>
  </w:style>
  <w:style w:type="paragraph" w:styleId="aff0">
    <w:name w:val="annotation subject"/>
    <w:basedOn w:val="afe"/>
    <w:next w:val="afe"/>
    <w:semiHidden/>
    <w:rPr>
      <w:b/>
      <w:bCs/>
    </w:rPr>
  </w:style>
  <w:style w:type="paragraph" w:customStyle="1" w:styleId="Default">
    <w:name w:val="Default"/>
    <w:rPr>
      <w:color w:val="000000"/>
      <w:sz w:val="24"/>
      <w:szCs w:val="24"/>
    </w:rPr>
  </w:style>
  <w:style w:type="character" w:customStyle="1" w:styleId="highlight1">
    <w:name w:val="highlight1"/>
    <w:rPr>
      <w:b/>
      <w:bCs/>
      <w:color w:val="FF0000"/>
    </w:rPr>
  </w:style>
  <w:style w:type="paragraph" w:styleId="af1">
    <w:name w:val="footnote text"/>
    <w:basedOn w:val="a"/>
    <w:link w:val="af0"/>
    <w:semiHidden/>
    <w:rPr>
      <w:sz w:val="20"/>
      <w:szCs w:val="20"/>
    </w:rPr>
  </w:style>
  <w:style w:type="character" w:styleId="aff1">
    <w:name w:val="footnote reference"/>
    <w:semiHidden/>
    <w:rPr>
      <w:vertAlign w:val="superscript"/>
    </w:rPr>
  </w:style>
  <w:style w:type="paragraph" w:customStyle="1" w:styleId="aff2">
    <w:name w:val="Знак"/>
    <w:basedOn w:val="a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character" w:styleId="aff3">
    <w:name w:val="Emphasis"/>
    <w:qFormat/>
    <w:rPr>
      <w:i/>
      <w:iCs/>
    </w:rPr>
  </w:style>
  <w:style w:type="character" w:styleId="aff4">
    <w:name w:val="Strong"/>
    <w:qFormat/>
    <w:rPr>
      <w:b/>
      <w:bCs/>
    </w:rPr>
  </w:style>
  <w:style w:type="paragraph" w:styleId="a5">
    <w:name w:val="Title"/>
    <w:basedOn w:val="a"/>
    <w:link w:val="a4"/>
    <w:qFormat/>
    <w:pPr>
      <w:spacing w:line="360" w:lineRule="auto"/>
      <w:ind w:firstLine="709"/>
      <w:jc w:val="center"/>
    </w:pPr>
    <w:rPr>
      <w:rFonts w:ascii="Times New Roman" w:eastAsia="Times New Roman" w:hAnsi="Times New Roman"/>
      <w:sz w:val="28"/>
      <w:szCs w:val="28"/>
    </w:rPr>
  </w:style>
  <w:style w:type="paragraph" w:styleId="aff5">
    <w:name w:val="Revision"/>
    <w:hidden/>
    <w:uiPriority w:val="99"/>
    <w:semiHidden/>
    <w:rPr>
      <w:rFonts w:ascii="Calibri" w:eastAsia="Calibri" w:hAnsi="Calibri"/>
      <w:sz w:val="22"/>
      <w:szCs w:val="22"/>
    </w:rPr>
  </w:style>
  <w:style w:type="character" w:customStyle="1" w:styleId="aff">
    <w:name w:val="Текст примечания Знак"/>
    <w:link w:val="afe"/>
    <w:uiPriority w:val="99"/>
    <w:semiHidden/>
    <w:rPr>
      <w:rFonts w:ascii="Calibri" w:eastAsia="Calibri" w:hAnsi="Calibri"/>
    </w:rPr>
  </w:style>
  <w:style w:type="paragraph" w:styleId="aff6">
    <w:name w:val="List Paragraph"/>
    <w:basedOn w:val="a"/>
    <w:uiPriority w:val="99"/>
    <w:qFormat/>
    <w:pPr>
      <w:spacing w:after="200" w:line="276" w:lineRule="auto"/>
      <w:ind w:left="720"/>
      <w:contextualSpacing/>
    </w:pPr>
    <w:rPr>
      <w:rFonts w:eastAsia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Value xmlns="cd3664f2-095a-4f8b-9d55-6e8dac6b38e9" xsi:nil="true"/>
    <IconOverlay xmlns="http://schemas.microsoft.com/sharepoint/v4" xsi:nil="true"/>
    <Program xmlns="cd3664f2-095a-4f8b-9d55-6e8dac6b38e9" xsi:nil="true"/>
    <g943717a092c4fc1b62636c74327ccfa xmlns="cd3664f2-095a-4f8b-9d55-6e8dac6b38e9">
      <Terms xmlns="http://schemas.microsoft.com/office/infopath/2007/PartnerControls"/>
    </g943717a092c4fc1b62636c74327ccfa>
    <Project xmlns="cd3664f2-095a-4f8b-9d55-6e8dac6b38e9" xsi:nil="true"/>
    <Program_Value xmlns="cd3664f2-095a-4f8b-9d55-6e8dac6b38e9" xsi:nil="true"/>
    <TaxCatchAll xmlns="357de74d-0576-4f64-94f1-0981946002d6"/>
    <_dlc_DocId xmlns="357de74d-0576-4f64-94f1-0981946002d6">C7SY476UVPAM-52-584055</_dlc_DocId>
    <_dlc_DocIdUrl xmlns="357de74d-0576-4f64-94f1-0981946002d6">
      <Url>http://mp27/Docs/_layouts/DocIdRedir.aspx?ID=C7SY476UVPAM-52-584055</Url>
      <Description>C7SY476UVPAM-52-584055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8A57D39EA87654A826E1AE073001366" ma:contentTypeVersion="33" ma:contentTypeDescription="Создание документа." ma:contentTypeScope="" ma:versionID="3a05dd6dcbc786e87c2d46ca96dd04c2">
  <xsd:schema xmlns:xsd="http://www.w3.org/2001/XMLSchema" xmlns:xs="http://www.w3.org/2001/XMLSchema" xmlns:p="http://schemas.microsoft.com/office/2006/metadata/properties" xmlns:ns1="http://schemas.microsoft.com/sharepoint/v3" xmlns:ns2="cd3664f2-095a-4f8b-9d55-6e8dac6b38e9" xmlns:ns3="357de74d-0576-4f64-94f1-0981946002d6" xmlns:ns4="http://schemas.microsoft.com/sharepoint/v4" targetNamespace="http://schemas.microsoft.com/office/2006/metadata/properties" ma:root="true" ma:fieldsID="ec06f605acae4b809719ca679797f4da" ns1:_="" ns2:_="" ns3:_="" ns4:_="">
    <xsd:import namespace="http://schemas.microsoft.com/sharepoint/v3"/>
    <xsd:import namespace="cd3664f2-095a-4f8b-9d55-6e8dac6b38e9"/>
    <xsd:import namespace="357de74d-0576-4f64-94f1-0981946002d6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gram" minOccurs="0"/>
                <xsd:element ref="ns3:_dlc_DocId" minOccurs="0"/>
                <xsd:element ref="ns3:_dlc_DocIdUrl" minOccurs="0"/>
                <xsd:element ref="ns3:_dlc_DocIdPersistId" minOccurs="0"/>
                <xsd:element ref="ns2:Project_Value" minOccurs="0"/>
                <xsd:element ref="ns2:Program_Value" minOccurs="0"/>
                <xsd:element ref="ns4:IconOverlay" minOccurs="0"/>
                <xsd:element ref="ns3:TaxCatchAll" minOccurs="0"/>
                <xsd:element ref="ns2:g943717a092c4fc1b62636c74327ccfa" minOccurs="0"/>
                <xsd:element ref="ns1:_vti_ItemDeclaredRecord" minOccurs="0"/>
                <xsd:element ref="ns1:_vti_ItemHoldRecord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21" nillable="true" ma:displayName="Объявленная запись" ma:hidden="true" ma:internalName="_vti_ItemDeclaredRecord" ma:readOnly="true">
      <xsd:simpleType>
        <xsd:restriction base="dms:DateTime"/>
      </xsd:simpleType>
    </xsd:element>
    <xsd:element name="_vti_ItemHoldRecordStatus" ma:index="22" nillable="true" ma:displayName="Состояние записи и удержания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3664f2-095a-4f8b-9d55-6e8dac6b38e9" elementFormDefault="qualified">
    <xsd:import namespace="http://schemas.microsoft.com/office/2006/documentManagement/types"/>
    <xsd:import namespace="http://schemas.microsoft.com/office/infopath/2007/PartnerControls"/>
    <xsd:element name="Project" ma:index="2" nillable="true" ma:displayName="Клиент" ma:indexed="true" ma:internalName="Project">
      <xsd:simpleType>
        <xsd:restriction base="dms:Unknown"/>
      </xsd:simpleType>
    </xsd:element>
    <xsd:element name="Program" ma:index="3" nillable="true" ma:displayName="Проект" ma:indexed="true" ma:internalName="Program">
      <xsd:simpleType>
        <xsd:restriction base="dms:Unknown"/>
      </xsd:simpleType>
    </xsd:element>
    <xsd:element name="Project_Value" ma:index="10" nillable="true" ma:displayName="Project_Value" ma:hidden="true" ma:internalName="Project_Value" ma:readOnly="false">
      <xsd:simpleType>
        <xsd:restriction base="dms:Text"/>
      </xsd:simpleType>
    </xsd:element>
    <xsd:element name="Program_Value" ma:index="12" nillable="true" ma:displayName="Program_Value" ma:hidden="true" ma:internalName="Program_Value" ma:readOnly="false">
      <xsd:simpleType>
        <xsd:restriction base="dms:Text"/>
      </xsd:simpleType>
    </xsd:element>
    <xsd:element name="g943717a092c4fc1b62636c74327ccfa" ma:index="18" nillable="true" ma:taxonomy="true" ma:internalName="g943717a092c4fc1b62636c74327ccfa" ma:taxonomyFieldName="Department" ma:displayName="Практика" ma:default="" ma:fieldId="{0943717a-092c-4fc1-b626-36c74327ccfa}" ma:sspId="605086db-a9be-4a34-a41c-e0db27f7284e" ma:termSetId="a6a5710a-213b-442e-9230-089bae104a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7de74d-0576-4f64-94f1-0981946002d6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Значение идентификатора документа" ma:description="Значение идентификатора документа, присвоенного данному элементу." ma:indexed="true" ma:internalName="_dlc_DocId" ma:readOnly="true">
      <xsd:simpleType>
        <xsd:restriction base="dms:Text"/>
      </xsd:simpleType>
    </xsd:element>
    <xsd:element name="_dlc_DocIdUrl" ma:index="7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  <xsd:element name="TaxCatchAll" ma:index="16" nillable="true" ma:displayName="Столбец для захвата всех терминов таксономии" ma:hidden="true" ma:list="{1945cbee-8e77-4ba9-90e6-c2c7f6e6bc49}" ma:internalName="TaxCatchAll" ma:showField="CatchAllData" ma:web="357de74d-0576-4f64-94f1-098194600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279A4-6BB2-4F2B-BA94-E2903115C436}">
  <ds:schemaRefs>
    <ds:schemaRef ds:uri="http://schemas.microsoft.com/office/2006/metadata/properties"/>
    <ds:schemaRef ds:uri="http://schemas.microsoft.com/office/infopath/2007/PartnerControls"/>
    <ds:schemaRef ds:uri="cd3664f2-095a-4f8b-9d55-6e8dac6b38e9"/>
    <ds:schemaRef ds:uri="http://schemas.microsoft.com/sharepoint/v4"/>
    <ds:schemaRef ds:uri="357de74d-0576-4f64-94f1-0981946002d6"/>
  </ds:schemaRefs>
</ds:datastoreItem>
</file>

<file path=customXml/itemProps2.xml><?xml version="1.0" encoding="utf-8"?>
<ds:datastoreItem xmlns:ds="http://schemas.openxmlformats.org/officeDocument/2006/customXml" ds:itemID="{18C540EE-D878-45E8-A371-6FD89BBCF8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7BC8F0-E4BA-4172-9B55-153898998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d3664f2-095a-4f8b-9d55-6e8dac6b38e9"/>
    <ds:schemaRef ds:uri="357de74d-0576-4f64-94f1-0981946002d6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8D46FB-0AD2-40A4-BDB6-D5DCCD997D1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31196D1-623C-494F-877D-C8F409470E8F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70218DC0-6883-4E59-88A1-ABBBD670A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1047</Words>
  <Characters>5970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20180202_ИРАО_ Производственные результаты_2017.docx</vt:lpstr>
    </vt:vector>
  </TitlesOfParts>
  <Company>Inter RAO UES</Company>
  <LinksUpToDate>false</LinksUpToDate>
  <CharactersWithSpaces>7003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20180202_ИРАО_ Производственные результаты_2017.docx</dc:title>
  <dc:creator>Кузин Николай Леонидович</dc:creator>
  <cp:lastModifiedBy>Модина Анастасия Михайловна</cp:lastModifiedBy>
  <cp:revision>2</cp:revision>
  <cp:lastPrinted>2023-11-28T09:00:00Z</cp:lastPrinted>
  <dcterms:created xsi:type="dcterms:W3CDTF">2023-12-01T09:28:00Z</dcterms:created>
  <dcterms:modified xsi:type="dcterms:W3CDTF">2023-12-01T09:28:00Z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iq">
    <vt:lpwstr/>
  </property>
  <property fmtid="{D5CDD505-2E9C-101B-9397-08002B2CF9AE}" pid="3" name="_dlc_DocIdItemGuid">
    <vt:lpwstr>ef6bda9c-ce02-4015-828e-8150fb375c1a</vt:lpwstr>
  </property>
  <property fmtid="{D5CDD505-2E9C-101B-9397-08002B2CF9AE}" pid="4" name="ContentTypeId">
    <vt:lpwstr>0x010100F8A57D39EA87654A826E1AE073001366</vt:lpwstr>
  </property>
</Properties>
</file>